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F6A531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F1FE7">
        <w:t>11</w:t>
      </w:r>
      <w:r w:rsidR="00F3108B">
        <w:t>6</w:t>
      </w:r>
      <w:r w:rsidRPr="00CE0424">
        <w:tab/>
      </w:r>
      <w:proofErr w:type="spellStart"/>
      <w:r w:rsidRPr="00CE0424">
        <w:rPr>
          <w:sz w:val="32"/>
          <w:szCs w:val="32"/>
        </w:rPr>
        <w:t>Tdoc</w:t>
      </w:r>
      <w:proofErr w:type="spellEnd"/>
      <w:r w:rsidRPr="00CE0424">
        <w:rPr>
          <w:sz w:val="32"/>
          <w:szCs w:val="32"/>
        </w:rPr>
        <w:t xml:space="preserve"> </w:t>
      </w:r>
      <w:r w:rsidR="0036601E">
        <w:rPr>
          <w:sz w:val="32"/>
          <w:szCs w:val="32"/>
        </w:rPr>
        <w:t>R1-</w:t>
      </w:r>
      <w:r w:rsidR="00C70D7C" w:rsidRPr="00C70D7C">
        <w:rPr>
          <w:sz w:val="32"/>
          <w:szCs w:val="32"/>
        </w:rPr>
        <w:t>2401075</w:t>
      </w:r>
    </w:p>
    <w:p w14:paraId="3086AC07" w14:textId="3AF64794" w:rsidR="00E90E49" w:rsidRPr="00CE0424" w:rsidRDefault="00F3108B" w:rsidP="00357380">
      <w:pPr>
        <w:pStyle w:val="3GPPHeader"/>
      </w:pPr>
      <w:r w:rsidRPr="00F3108B">
        <w:t>Athens, Greece, February 26th – March 1st, 2024</w:t>
      </w:r>
    </w:p>
    <w:p w14:paraId="3982483C" w14:textId="36AB4B74" w:rsidR="00E90E49" w:rsidRPr="006B7E78" w:rsidRDefault="00E90E49" w:rsidP="00311702">
      <w:pPr>
        <w:pStyle w:val="3GPPHeader"/>
        <w:rPr>
          <w:sz w:val="22"/>
        </w:rPr>
      </w:pPr>
      <w:r w:rsidRPr="006B7E78">
        <w:rPr>
          <w:sz w:val="22"/>
        </w:rPr>
        <w:t>Agenda Item:</w:t>
      </w:r>
      <w:r w:rsidRPr="006B7E78">
        <w:rPr>
          <w:sz w:val="22"/>
        </w:rPr>
        <w:tab/>
      </w:r>
      <w:r w:rsidR="00992243" w:rsidRPr="006B7E78">
        <w:rPr>
          <w:sz w:val="22"/>
        </w:rPr>
        <w:t>7.1</w:t>
      </w:r>
    </w:p>
    <w:p w14:paraId="5619E868" w14:textId="39C80490"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D031497" w:rsidR="00E90E49" w:rsidRPr="00CE0424" w:rsidRDefault="003D3C45" w:rsidP="00311702">
      <w:pPr>
        <w:pStyle w:val="3GPPHeader"/>
        <w:rPr>
          <w:sz w:val="22"/>
        </w:rPr>
      </w:pPr>
      <w:r>
        <w:rPr>
          <w:sz w:val="22"/>
        </w:rPr>
        <w:t>Title:</w:t>
      </w:r>
      <w:r w:rsidR="00E90E49" w:rsidRPr="00CE0424">
        <w:rPr>
          <w:sz w:val="22"/>
        </w:rPr>
        <w:tab/>
      </w:r>
      <w:r w:rsidR="00D1761A">
        <w:rPr>
          <w:sz w:val="22"/>
        </w:rPr>
        <w:t xml:space="preserve">Aperiodic </w:t>
      </w:r>
      <w:r w:rsidR="00A850BB" w:rsidRPr="00A850BB">
        <w:rPr>
          <w:sz w:val="22"/>
        </w:rPr>
        <w:t>SRS Carrier Switching</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266C9">
        <w:rPr>
          <w:sz w:val="22"/>
        </w:rPr>
        <w:t>Discussion, Decision</w:t>
      </w:r>
    </w:p>
    <w:p w14:paraId="6883CB62" w14:textId="6451AE39" w:rsidR="00E90E49" w:rsidRPr="00CE0424" w:rsidRDefault="00230D18" w:rsidP="00CE0424">
      <w:pPr>
        <w:pStyle w:val="Heading1"/>
      </w:pPr>
      <w:r>
        <w:t>1</w:t>
      </w:r>
      <w:r>
        <w:tab/>
      </w:r>
      <w:r w:rsidR="00E90E49" w:rsidRPr="00CE0424">
        <w:t>Introduction</w:t>
      </w:r>
    </w:p>
    <w:p w14:paraId="5A3FD92C" w14:textId="21087189" w:rsidR="0022577C" w:rsidRDefault="0022577C" w:rsidP="00CE0424">
      <w:pPr>
        <w:pStyle w:val="BodyText"/>
      </w:pPr>
      <w:r>
        <w:t>In RAN1#11</w:t>
      </w:r>
      <w:r w:rsidR="00132748">
        <w:t>5,</w:t>
      </w:r>
      <w:r w:rsidR="007E2CFE">
        <w:t xml:space="preserve"> </w:t>
      </w:r>
      <w:r>
        <w:t xml:space="preserve">support for DCI formats 1_1 and 1_2 was </w:t>
      </w:r>
      <w:r w:rsidR="00132748">
        <w:t>clarified with the following agreements and a corresponding CR</w:t>
      </w:r>
      <w:r w:rsidR="00F35628">
        <w:t xml:space="preserve"> </w:t>
      </w:r>
      <w:r w:rsidR="00F35628">
        <w:fldChar w:fldCharType="begin"/>
      </w:r>
      <w:r w:rsidR="00F35628">
        <w:instrText xml:space="preserve"> REF _Ref157703904 \r \h </w:instrText>
      </w:r>
      <w:r w:rsidR="00F35628">
        <w:fldChar w:fldCharType="separate"/>
      </w:r>
      <w:r w:rsidR="006B7E78">
        <w:t>[1]</w:t>
      </w:r>
      <w:r w:rsidR="00F35628">
        <w:fldChar w:fldCharType="end"/>
      </w:r>
      <w:r w:rsidR="00F35628">
        <w:t>.</w:t>
      </w:r>
    </w:p>
    <w:p w14:paraId="2403A657" w14:textId="77777777" w:rsidR="0022577C" w:rsidRPr="0022577C" w:rsidRDefault="0022577C" w:rsidP="0022577C">
      <w:pPr>
        <w:spacing w:after="0" w:line="240" w:lineRule="auto"/>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3B112AA0" w14:textId="77777777" w:rsidR="0022577C" w:rsidRPr="0022577C" w:rsidRDefault="0022577C" w:rsidP="0022577C">
      <w:pPr>
        <w:spacing w:after="0" w:line="240" w:lineRule="auto"/>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alternatives in RAN1#114bis:</w:t>
      </w:r>
    </w:p>
    <w:p w14:paraId="1C9D1FDB" w14:textId="77777777" w:rsidR="0022577C" w:rsidRPr="0022577C" w:rsidRDefault="0022577C" w:rsidP="0022577C">
      <w:pPr>
        <w:numPr>
          <w:ilvl w:val="0"/>
          <w:numId w:val="2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 xml:space="preserve">_2 triggering </w:t>
      </w:r>
      <w:proofErr w:type="gramStart"/>
      <w:r w:rsidRPr="0022577C">
        <w:rPr>
          <w:rFonts w:ascii="Times" w:eastAsia="Malgun Gothic" w:hAnsi="Times" w:cs="Arial"/>
          <w:szCs w:val="24"/>
          <w:lang w:val="en-GB" w:eastAsia="ko-KR"/>
        </w:rPr>
        <w:t>are</w:t>
      </w:r>
      <w:proofErr w:type="gramEnd"/>
      <w:r w:rsidRPr="0022577C">
        <w:rPr>
          <w:rFonts w:ascii="Times" w:eastAsia="Malgun Gothic" w:hAnsi="Times" w:cs="Arial"/>
          <w:szCs w:val="24"/>
          <w:lang w:val="en-GB" w:eastAsia="ko-KR"/>
        </w:rPr>
        <w:t xml:space="preserve"> supported for aperiodic SRS carrier switching in Rel-15</w:t>
      </w:r>
    </w:p>
    <w:p w14:paraId="52DBE555" w14:textId="77777777" w:rsidR="0022577C" w:rsidRPr="0022577C" w:rsidRDefault="0022577C" w:rsidP="0022577C">
      <w:pPr>
        <w:numPr>
          <w:ilvl w:val="0"/>
          <w:numId w:val="2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3F1B17EC" w14:textId="77777777" w:rsidR="007E2CFE" w:rsidRDefault="007E2CFE" w:rsidP="00CE0424">
      <w:pPr>
        <w:pStyle w:val="BodyText"/>
      </w:pPr>
    </w:p>
    <w:p w14:paraId="25A121B0" w14:textId="77777777" w:rsidR="00132748" w:rsidRPr="00132748" w:rsidRDefault="00132748" w:rsidP="00132748">
      <w:pPr>
        <w:spacing w:after="0" w:line="240" w:lineRule="auto"/>
        <w:ind w:left="567"/>
        <w:rPr>
          <w:rFonts w:ascii="Times" w:eastAsia="Calibri" w:hAnsi="Times" w:cs="Times New Roman"/>
          <w:szCs w:val="24"/>
          <w:lang w:val="en-GB"/>
        </w:rPr>
      </w:pPr>
      <w:r w:rsidRPr="00132748">
        <w:rPr>
          <w:rFonts w:ascii="Times" w:eastAsia="Calibri" w:hAnsi="Times" w:cs="Times New Roman"/>
          <w:b/>
          <w:bCs/>
          <w:szCs w:val="24"/>
          <w:lang w:val="en-GB"/>
        </w:rPr>
        <w:t>Conclusion</w:t>
      </w:r>
    </w:p>
    <w:p w14:paraId="31961E93" w14:textId="77777777" w:rsidR="00132748" w:rsidRPr="00132748" w:rsidRDefault="00132748" w:rsidP="00132748">
      <w:pPr>
        <w:spacing w:after="0" w:line="240" w:lineRule="auto"/>
        <w:ind w:left="567"/>
        <w:rPr>
          <w:rFonts w:ascii="Times" w:eastAsia="Calibri" w:hAnsi="Times" w:cs="Times New Roman"/>
          <w:szCs w:val="24"/>
          <w:lang w:val="en-GB"/>
        </w:rPr>
      </w:pPr>
      <w:r w:rsidRPr="00132748">
        <w:rPr>
          <w:rFonts w:ascii="Times" w:eastAsia="Calibri" w:hAnsi="Times" w:cs="Times New Roman"/>
          <w:szCs w:val="24"/>
          <w:lang w:val="en-GB"/>
        </w:rPr>
        <w:t xml:space="preserve">Minimum support for aperiodic SRS carrier switching triggered by DCI 1_1/1_2 requires the </w:t>
      </w:r>
      <w:proofErr w:type="gramStart"/>
      <w:r w:rsidRPr="00132748">
        <w:rPr>
          <w:rFonts w:ascii="Times" w:eastAsia="Calibri" w:hAnsi="Times" w:cs="Times New Roman"/>
          <w:szCs w:val="24"/>
          <w:lang w:val="en-GB"/>
        </w:rPr>
        <w:t>capabilities</w:t>
      </w:r>
      <w:proofErr w:type="gramEnd"/>
    </w:p>
    <w:p w14:paraId="671FCBBC" w14:textId="77777777" w:rsidR="00132748" w:rsidRPr="00132748" w:rsidRDefault="00132748" w:rsidP="00132748">
      <w:pPr>
        <w:numPr>
          <w:ilvl w:val="0"/>
          <w:numId w:val="34"/>
        </w:numPr>
        <w:tabs>
          <w:tab w:val="clear" w:pos="720"/>
          <w:tab w:val="num" w:pos="1287"/>
        </w:tabs>
        <w:spacing w:after="0" w:line="240" w:lineRule="auto"/>
        <w:ind w:left="1287"/>
        <w:rPr>
          <w:rFonts w:ascii="Times" w:eastAsia="Times New Roman" w:hAnsi="Times" w:cs="Times"/>
          <w:szCs w:val="24"/>
          <w:lang w:val="en-GB"/>
        </w:rPr>
      </w:pPr>
      <w:proofErr w:type="spellStart"/>
      <w:r w:rsidRPr="00132748">
        <w:rPr>
          <w:rFonts w:ascii="Times" w:eastAsia="Times New Roman" w:hAnsi="Times" w:cs="Times"/>
          <w:i/>
          <w:iCs/>
          <w:szCs w:val="20"/>
          <w:lang w:val="en-GB"/>
        </w:rPr>
        <w:t>srs-CarrierSwitch</w:t>
      </w:r>
      <w:proofErr w:type="spellEnd"/>
      <w:r w:rsidRPr="00132748">
        <w:rPr>
          <w:rFonts w:ascii="Times" w:eastAsia="Times New Roman" w:hAnsi="Times" w:cs="Times"/>
          <w:szCs w:val="20"/>
          <w:lang w:val="en-GB"/>
        </w:rPr>
        <w:t> (feature group 2-56) and its prerequisite(s) as specified in 38.306. </w:t>
      </w:r>
    </w:p>
    <w:p w14:paraId="49D7DF6F" w14:textId="77777777" w:rsidR="00132748" w:rsidRPr="00132748" w:rsidRDefault="00132748" w:rsidP="00132748">
      <w:pPr>
        <w:numPr>
          <w:ilvl w:val="0"/>
          <w:numId w:val="34"/>
        </w:numPr>
        <w:tabs>
          <w:tab w:val="clear" w:pos="720"/>
          <w:tab w:val="num" w:pos="1287"/>
        </w:tabs>
        <w:spacing w:after="0" w:line="240" w:lineRule="auto"/>
        <w:ind w:left="1287"/>
        <w:rPr>
          <w:rFonts w:ascii="Times" w:eastAsia="Times New Roman" w:hAnsi="Times" w:cs="Times"/>
          <w:szCs w:val="24"/>
          <w:lang w:val="en-GB"/>
        </w:rPr>
      </w:pPr>
      <w:r w:rsidRPr="00132748">
        <w:rPr>
          <w:rFonts w:ascii="Times" w:eastAsia="Times New Roman" w:hAnsi="Times" w:cs="Times"/>
          <w:szCs w:val="20"/>
          <w:lang w:val="en-GB"/>
        </w:rPr>
        <w:t>Basic DL NR-NR CA operation, </w:t>
      </w:r>
      <w:proofErr w:type="spellStart"/>
      <w:proofErr w:type="gramStart"/>
      <w:r w:rsidRPr="00132748">
        <w:rPr>
          <w:rFonts w:ascii="Times" w:eastAsia="Times New Roman" w:hAnsi="Times" w:cs="Times"/>
          <w:i/>
          <w:iCs/>
          <w:szCs w:val="20"/>
          <w:lang w:val="en-GB"/>
        </w:rPr>
        <w:t>supportedBandCombinationList</w:t>
      </w:r>
      <w:proofErr w:type="spellEnd"/>
      <w:r w:rsidRPr="00132748">
        <w:rPr>
          <w:rFonts w:ascii="Times" w:eastAsia="Times New Roman" w:hAnsi="Times" w:cs="Times"/>
          <w:i/>
          <w:iCs/>
          <w:szCs w:val="20"/>
          <w:lang w:val="en-GB"/>
        </w:rPr>
        <w:t xml:space="preserve"> </w:t>
      </w:r>
      <w:r w:rsidRPr="00132748">
        <w:rPr>
          <w:rFonts w:ascii="Times" w:eastAsia="Times New Roman" w:hAnsi="Times" w:cs="Times"/>
          <w:szCs w:val="20"/>
          <w:lang w:val="en-GB"/>
        </w:rPr>
        <w:t> (</w:t>
      </w:r>
      <w:proofErr w:type="gramEnd"/>
      <w:r w:rsidRPr="00132748">
        <w:rPr>
          <w:rFonts w:ascii="Times" w:eastAsia="Times New Roman" w:hAnsi="Times" w:cs="Times"/>
          <w:szCs w:val="20"/>
          <w:lang w:val="en-GB"/>
        </w:rPr>
        <w:t>FG 6-5), e.g. since 38.214 section 6.2.1.3 requires switching among carriers of serving cells</w:t>
      </w:r>
    </w:p>
    <w:p w14:paraId="79A393FD" w14:textId="77777777" w:rsidR="00132748" w:rsidRPr="00132748" w:rsidRDefault="00132748" w:rsidP="00132748">
      <w:pPr>
        <w:numPr>
          <w:ilvl w:val="0"/>
          <w:numId w:val="34"/>
        </w:numPr>
        <w:tabs>
          <w:tab w:val="clear" w:pos="720"/>
          <w:tab w:val="num" w:pos="1287"/>
        </w:tabs>
        <w:spacing w:after="0" w:line="240" w:lineRule="auto"/>
        <w:ind w:left="1287"/>
        <w:rPr>
          <w:rFonts w:ascii="Times" w:eastAsia="Times New Roman" w:hAnsi="Times" w:cs="Times"/>
          <w:szCs w:val="24"/>
          <w:lang w:val="en-GB"/>
        </w:rPr>
      </w:pPr>
      <w:proofErr w:type="spellStart"/>
      <w:r w:rsidRPr="00132748">
        <w:rPr>
          <w:rFonts w:ascii="Times" w:eastAsia="Times New Roman" w:hAnsi="Times" w:cs="Times"/>
          <w:szCs w:val="20"/>
          <w:lang w:val="en-GB"/>
        </w:rPr>
        <w:t>srs-TxSwitch</w:t>
      </w:r>
      <w:proofErr w:type="spellEnd"/>
      <w:r w:rsidRPr="00132748">
        <w:rPr>
          <w:rFonts w:ascii="Times" w:eastAsia="Times New Roman" w:hAnsi="Times" w:cs="Times"/>
          <w:szCs w:val="20"/>
          <w:lang w:val="en-GB"/>
        </w:rPr>
        <w:t xml:space="preserve"> (FG 2-55), as inferred by the similar requirement for format 2_3 in 38.214 section 6.1.2.3</w:t>
      </w:r>
    </w:p>
    <w:p w14:paraId="13715BFB" w14:textId="77777777" w:rsidR="00132748" w:rsidRPr="00132748" w:rsidRDefault="00132748" w:rsidP="00132748">
      <w:pPr>
        <w:spacing w:after="0" w:line="240" w:lineRule="auto"/>
        <w:ind w:left="567"/>
        <w:rPr>
          <w:rFonts w:ascii="Times" w:eastAsia="Calibri" w:hAnsi="Times" w:cs="Times New Roman"/>
          <w:szCs w:val="24"/>
          <w:lang w:val="en-GB"/>
        </w:rPr>
      </w:pPr>
      <w:r w:rsidRPr="00132748">
        <w:rPr>
          <w:rFonts w:ascii="Times" w:eastAsia="Calibri" w:hAnsi="Times" w:cs="Times New Roman"/>
          <w:szCs w:val="24"/>
          <w:lang w:val="en-GB"/>
        </w:rPr>
        <w:t>If cross carrier scheduling is to be used for SRS carrier switching triggered by DCI 1_1/1_2, the additional capability is needed:</w:t>
      </w:r>
    </w:p>
    <w:p w14:paraId="7EE26474" w14:textId="77777777" w:rsidR="00132748" w:rsidRPr="00132748" w:rsidRDefault="00132748" w:rsidP="00132748">
      <w:pPr>
        <w:numPr>
          <w:ilvl w:val="0"/>
          <w:numId w:val="34"/>
        </w:numPr>
        <w:tabs>
          <w:tab w:val="clear" w:pos="720"/>
          <w:tab w:val="num" w:pos="1287"/>
        </w:tabs>
        <w:spacing w:after="0" w:line="240" w:lineRule="auto"/>
        <w:ind w:left="1287"/>
        <w:rPr>
          <w:rFonts w:ascii="Times" w:eastAsia="Times New Roman" w:hAnsi="Times" w:cs="Times"/>
          <w:szCs w:val="20"/>
          <w:lang w:val="en-GB"/>
        </w:rPr>
      </w:pPr>
      <w:proofErr w:type="spellStart"/>
      <w:r w:rsidRPr="00132748">
        <w:rPr>
          <w:rFonts w:ascii="Times" w:eastAsia="Times New Roman" w:hAnsi="Times" w:cs="Times"/>
          <w:i/>
          <w:iCs/>
          <w:szCs w:val="20"/>
          <w:lang w:val="en-GB"/>
        </w:rPr>
        <w:t>crossCarrierScheduling-SameSCS</w:t>
      </w:r>
      <w:proofErr w:type="spellEnd"/>
      <w:r w:rsidRPr="00132748">
        <w:rPr>
          <w:rFonts w:ascii="Times" w:eastAsia="Times New Roman" w:hAnsi="Times" w:cs="Times"/>
          <w:szCs w:val="20"/>
          <w:lang w:val="en-GB"/>
        </w:rPr>
        <w:t xml:space="preserve"> (FG 6-10) if triggering cell and target cell for A-SRS CS are not the same.</w:t>
      </w:r>
    </w:p>
    <w:p w14:paraId="4E349FCA" w14:textId="77777777" w:rsidR="00132748" w:rsidRPr="00132748" w:rsidRDefault="00132748" w:rsidP="00132748">
      <w:pPr>
        <w:wordWrap w:val="0"/>
        <w:spacing w:after="0" w:line="240" w:lineRule="auto"/>
        <w:ind w:left="567"/>
        <w:rPr>
          <w:rFonts w:ascii="Times" w:eastAsia="Calibri" w:hAnsi="Times" w:cs="Times New Roman"/>
          <w:b/>
          <w:bCs/>
          <w:szCs w:val="24"/>
          <w:highlight w:val="green"/>
          <w:lang w:val="en-GB"/>
        </w:rPr>
      </w:pPr>
    </w:p>
    <w:p w14:paraId="53E2E6B7" w14:textId="77777777" w:rsidR="00132748" w:rsidRPr="00132748" w:rsidRDefault="00132748" w:rsidP="00132748">
      <w:pPr>
        <w:wordWrap w:val="0"/>
        <w:spacing w:after="0" w:line="240" w:lineRule="auto"/>
        <w:ind w:left="567"/>
        <w:rPr>
          <w:rFonts w:ascii="Times" w:eastAsia="Calibri" w:hAnsi="Times" w:cs="Times New Roman"/>
          <w:b/>
          <w:bCs/>
          <w:szCs w:val="24"/>
          <w:highlight w:val="green"/>
          <w:lang w:val="en-GB"/>
        </w:rPr>
      </w:pPr>
      <w:r w:rsidRPr="00132748">
        <w:rPr>
          <w:rFonts w:ascii="Times" w:eastAsia="Calibri" w:hAnsi="Times" w:cs="Times New Roman"/>
          <w:b/>
          <w:bCs/>
          <w:szCs w:val="24"/>
          <w:highlight w:val="green"/>
          <w:lang w:val="en-GB"/>
        </w:rPr>
        <w:t>Agreement</w:t>
      </w:r>
    </w:p>
    <w:p w14:paraId="42B9EE9F" w14:textId="77777777" w:rsidR="00132748" w:rsidRPr="00132748" w:rsidRDefault="00132748" w:rsidP="00132748">
      <w:pPr>
        <w:wordWrap w:val="0"/>
        <w:spacing w:after="0" w:line="240" w:lineRule="auto"/>
        <w:ind w:left="567"/>
        <w:rPr>
          <w:rFonts w:ascii="Times" w:eastAsia="Calibri" w:hAnsi="Times" w:cs="Times"/>
          <w:szCs w:val="24"/>
          <w:lang w:val="en-GB"/>
        </w:rPr>
      </w:pPr>
      <w:r w:rsidRPr="00132748">
        <w:rPr>
          <w:rFonts w:ascii="Times" w:eastAsia="Calibri" w:hAnsi="Times" w:cs="Times"/>
          <w:szCs w:val="24"/>
          <w:lang w:val="en-GB"/>
        </w:rPr>
        <w:t xml:space="preserve">Alt 1 from RAN#114, “RAN1 concludes that DCI 1_1 and 1_2 triggering </w:t>
      </w:r>
      <w:proofErr w:type="gramStart"/>
      <w:r w:rsidRPr="00132748">
        <w:rPr>
          <w:rFonts w:ascii="Times" w:eastAsia="Calibri" w:hAnsi="Times" w:cs="Times"/>
          <w:szCs w:val="24"/>
          <w:lang w:val="en-GB"/>
        </w:rPr>
        <w:t>are</w:t>
      </w:r>
      <w:proofErr w:type="gramEnd"/>
      <w:r w:rsidRPr="00132748">
        <w:rPr>
          <w:rFonts w:ascii="Times" w:eastAsia="Calibri" w:hAnsi="Times" w:cs="Times"/>
          <w:szCs w:val="24"/>
          <w:lang w:val="en-GB"/>
        </w:rPr>
        <w:t xml:space="preserve"> supported, </w:t>
      </w:r>
      <w:r w:rsidRPr="00132748">
        <w:rPr>
          <w:rFonts w:ascii="Times" w:eastAsia="Calibri" w:hAnsi="Times" w:cs="Times"/>
          <w:color w:val="FF0000"/>
          <w:szCs w:val="24"/>
          <w:u w:val="single"/>
          <w:lang w:val="en-GB"/>
        </w:rPr>
        <w:t>subject to existing UE capabilities,</w:t>
      </w:r>
      <w:r w:rsidRPr="00132748">
        <w:rPr>
          <w:rFonts w:ascii="Times" w:eastAsia="Calibri" w:hAnsi="Times" w:cs="Times"/>
          <w:color w:val="FF0000"/>
          <w:szCs w:val="24"/>
          <w:lang w:val="en-GB"/>
        </w:rPr>
        <w:t> </w:t>
      </w:r>
      <w:r w:rsidRPr="00132748">
        <w:rPr>
          <w:rFonts w:ascii="Times" w:eastAsia="Calibri" w:hAnsi="Times" w:cs="Times"/>
          <w:szCs w:val="24"/>
          <w:lang w:val="en-GB"/>
        </w:rPr>
        <w:t>for aperiodic SRS carrier switching in Rel-15” is agreed as </w:t>
      </w:r>
      <w:r w:rsidRPr="00132748">
        <w:rPr>
          <w:rFonts w:ascii="Times" w:eastAsia="Calibri" w:hAnsi="Times" w:cs="Times"/>
          <w:color w:val="FF0000"/>
          <w:szCs w:val="24"/>
          <w:u w:val="single"/>
          <w:lang w:val="en-GB"/>
        </w:rPr>
        <w:t>updated</w:t>
      </w:r>
      <w:r w:rsidRPr="00132748">
        <w:rPr>
          <w:rFonts w:ascii="Times" w:eastAsia="Calibri" w:hAnsi="Times" w:cs="Times"/>
          <w:szCs w:val="24"/>
          <w:lang w:val="en-GB"/>
        </w:rPr>
        <w:t>, and no new UE capability is defined for the support of DCI 1_1 and 1_2 triggering for aperiodic SRS carrier switching in the case where SRS is triggered by a single DCI.</w:t>
      </w:r>
    </w:p>
    <w:p w14:paraId="72041211" w14:textId="77777777" w:rsidR="00132748" w:rsidRPr="00132748" w:rsidRDefault="00132748" w:rsidP="00132748">
      <w:pPr>
        <w:numPr>
          <w:ilvl w:val="0"/>
          <w:numId w:val="35"/>
        </w:numPr>
        <w:tabs>
          <w:tab w:val="clear" w:pos="720"/>
          <w:tab w:val="num" w:pos="1287"/>
        </w:tabs>
        <w:wordWrap w:val="0"/>
        <w:spacing w:after="0" w:line="240" w:lineRule="auto"/>
        <w:ind w:left="1287"/>
        <w:rPr>
          <w:rFonts w:ascii="Times" w:eastAsia="Times New Roman" w:hAnsi="Times" w:cs="Times"/>
          <w:szCs w:val="24"/>
          <w:lang w:val="en-GB"/>
        </w:rPr>
      </w:pPr>
      <w:r w:rsidRPr="00132748">
        <w:rPr>
          <w:rFonts w:ascii="Times" w:eastAsia="Times New Roman" w:hAnsi="Times" w:cs="Times"/>
          <w:szCs w:val="20"/>
          <w:lang w:val="en-GB"/>
        </w:rPr>
        <w:t>FG 22-8, if indicated, also applies to SRS carrier switching (according to current specifications)</w:t>
      </w:r>
    </w:p>
    <w:p w14:paraId="409AC8FD" w14:textId="77777777" w:rsidR="00132748" w:rsidRDefault="00132748" w:rsidP="00CE0424">
      <w:pPr>
        <w:pStyle w:val="BodyText"/>
      </w:pPr>
    </w:p>
    <w:p w14:paraId="637E828C" w14:textId="5F79C4BD" w:rsidR="00F35628" w:rsidRDefault="00F35628" w:rsidP="00CE0424">
      <w:pPr>
        <w:pStyle w:val="BodyText"/>
      </w:pPr>
      <w:r>
        <w:t xml:space="preserve">The discussion in RAN1#115 identified issues that remain unresolved </w:t>
      </w:r>
      <w:r>
        <w:fldChar w:fldCharType="begin"/>
      </w:r>
      <w:r>
        <w:instrText xml:space="preserve"> REF _Ref146564676 \r \h </w:instrText>
      </w:r>
      <w:r>
        <w:fldChar w:fldCharType="separate"/>
      </w:r>
      <w:r w:rsidR="006B7E78">
        <w:t>[2]</w:t>
      </w:r>
      <w:r>
        <w:fldChar w:fldCharType="end"/>
      </w:r>
      <w:r>
        <w:t>.  As in RAN1#114bis, t</w:t>
      </w:r>
      <w:r w:rsidRPr="00F35628">
        <w:t>here was interest to remove the limitation to one or two SRS resource sets to allow more flexible SRS configurations for antenna switching</w:t>
      </w:r>
      <w:r w:rsidR="00BA13C5">
        <w:t>;</w:t>
      </w:r>
      <w:r w:rsidRPr="00F35628">
        <w:t xml:space="preserve"> </w:t>
      </w:r>
      <w:proofErr w:type="gramStart"/>
      <w:r w:rsidRPr="00F35628">
        <w:t>however</w:t>
      </w:r>
      <w:proofErr w:type="gramEnd"/>
      <w:r w:rsidRPr="00F35628">
        <w:t xml:space="preserve"> that was not acceptable to at least one company.  Whether such a limitation should be removed in the future </w:t>
      </w:r>
      <w:proofErr w:type="gramStart"/>
      <w:r w:rsidRPr="00F35628">
        <w:t>e.g.</w:t>
      </w:r>
      <w:proofErr w:type="gramEnd"/>
      <w:r w:rsidRPr="00F35628">
        <w:t xml:space="preserve"> in a TEI should be further discussed.  Discussions did not conclude for the multiple trigger cases</w:t>
      </w:r>
      <w:r>
        <w:t>, and a</w:t>
      </w:r>
      <w:r w:rsidRPr="00F35628">
        <w:t xml:space="preserve">vailable slot operation with SRS carrier switching also requires further discussion.  </w:t>
      </w:r>
      <w:r>
        <w:t>In this contribution, we discuss these open issues and potential solutions to them.</w:t>
      </w:r>
    </w:p>
    <w:p w14:paraId="60123794" w14:textId="3C8ED1B0" w:rsidR="004000E8" w:rsidRDefault="00230D18" w:rsidP="00CE0424">
      <w:pPr>
        <w:pStyle w:val="Heading1"/>
      </w:pPr>
      <w:bookmarkStart w:id="0" w:name="_Ref178064866"/>
      <w:r>
        <w:lastRenderedPageBreak/>
        <w:t>2</w:t>
      </w:r>
      <w:r>
        <w:tab/>
      </w:r>
      <w:r w:rsidR="004000E8" w:rsidRPr="00CE0424">
        <w:t>Discussion</w:t>
      </w:r>
      <w:bookmarkEnd w:id="0"/>
    </w:p>
    <w:p w14:paraId="0F5A6F11" w14:textId="70419955" w:rsidR="00722CEF" w:rsidRDefault="00722CEF" w:rsidP="00722CEF">
      <w:pPr>
        <w:pStyle w:val="Heading2"/>
      </w:pPr>
      <w:r>
        <w:t xml:space="preserve">2.1 </w:t>
      </w:r>
      <w:r w:rsidR="00A03A02">
        <w:t xml:space="preserve">More than 2 SRS resources </w:t>
      </w:r>
      <w:proofErr w:type="gramStart"/>
      <w:r w:rsidR="00A03A02">
        <w:t>sets</w:t>
      </w:r>
      <w:proofErr w:type="gramEnd"/>
    </w:p>
    <w:p w14:paraId="30CC41C1" w14:textId="6BDAF11C" w:rsidR="00722CEF" w:rsidRDefault="00722CEF" w:rsidP="00722CEF">
      <w:r>
        <w:t xml:space="preserve">Rel-17 supports antenna switching configurations with more than two SRS resource sets.  Therefore, it was asked </w:t>
      </w:r>
      <w:r>
        <w:fldChar w:fldCharType="begin"/>
      </w:r>
      <w:r>
        <w:instrText xml:space="preserve"> REF _Ref146564676 \r \h </w:instrText>
      </w:r>
      <w:r>
        <w:fldChar w:fldCharType="separate"/>
      </w:r>
      <w:r w:rsidR="006B7E78">
        <w:t>[2]</w:t>
      </w:r>
      <w:r>
        <w:fldChar w:fldCharType="end"/>
      </w:r>
      <w:r>
        <w:t xml:space="preserve"> if </w:t>
      </w:r>
      <w:r w:rsidRPr="00F27C39">
        <w:t xml:space="preserve">Rel-17 SRS antenna switching configurations that require more than two SRS resource sets </w:t>
      </w:r>
      <w:r>
        <w:t xml:space="preserve">were </w:t>
      </w:r>
      <w:r w:rsidRPr="00F27C39">
        <w:t>intended to be precluded for use with aperiodic SRS carrier switching</w:t>
      </w:r>
      <w:r>
        <w:t xml:space="preserve">.  </w:t>
      </w:r>
      <w:proofErr w:type="gramStart"/>
      <w:r>
        <w:t>A</w:t>
      </w:r>
      <w:r w:rsidRPr="00722CEF">
        <w:t xml:space="preserve"> majority of</w:t>
      </w:r>
      <w:proofErr w:type="gramEnd"/>
      <w:r w:rsidRPr="00722CEF">
        <w:t xml:space="preserve"> companies thought that </w:t>
      </w:r>
      <w:r>
        <w:t xml:space="preserve">this </w:t>
      </w:r>
      <w:r w:rsidRPr="00722CEF">
        <w:t xml:space="preserve">‘at most two’ </w:t>
      </w:r>
      <w:r>
        <w:t>constraint was not needed for DCI 1_1, 1_2, or 1_3.</w:t>
      </w:r>
      <w:r w:rsidRPr="00722CEF">
        <w:t xml:space="preserve"> However, at least one company wanted ‘at most two’ to be </w:t>
      </w:r>
      <w:proofErr w:type="gramStart"/>
      <w:r w:rsidRPr="00722CEF">
        <w:t>kept, and</w:t>
      </w:r>
      <w:proofErr w:type="gramEnd"/>
      <w:r w:rsidRPr="00722CEF">
        <w:t xml:space="preserve"> given that 1_1/1_2 should be consistent with 2_3, ‘at most two’ </w:t>
      </w:r>
      <w:r>
        <w:t xml:space="preserve">was agreed in the CR </w:t>
      </w:r>
      <w:r>
        <w:fldChar w:fldCharType="begin"/>
      </w:r>
      <w:r>
        <w:instrText xml:space="preserve"> REF _Ref157703904 \r \h </w:instrText>
      </w:r>
      <w:r>
        <w:fldChar w:fldCharType="separate"/>
      </w:r>
      <w:r w:rsidR="006B7E78">
        <w:t>[1]</w:t>
      </w:r>
      <w:r>
        <w:fldChar w:fldCharType="end"/>
      </w:r>
      <w:r w:rsidRPr="00722CEF">
        <w:t xml:space="preserve">.  </w:t>
      </w:r>
      <w:r>
        <w:t xml:space="preserve">In </w:t>
      </w:r>
      <w:r>
        <w:fldChar w:fldCharType="begin"/>
      </w:r>
      <w:r>
        <w:instrText xml:space="preserve"> REF _Ref146564676 \r \h </w:instrText>
      </w:r>
      <w:r>
        <w:fldChar w:fldCharType="separate"/>
      </w:r>
      <w:r w:rsidR="006B7E78">
        <w:t>[2]</w:t>
      </w:r>
      <w:r>
        <w:fldChar w:fldCharType="end"/>
      </w:r>
      <w:r>
        <w:t xml:space="preserve">, the </w:t>
      </w:r>
      <w:r w:rsidRPr="00722CEF">
        <w:t>Moderator note</w:t>
      </w:r>
      <w:r>
        <w:t>d</w:t>
      </w:r>
      <w:r w:rsidRPr="00722CEF">
        <w:t xml:space="preserve"> that companies suggesting that ‘at most two’ should be kept in RAN1#114bis suggested it could be proposed in a TEI.</w:t>
      </w:r>
    </w:p>
    <w:p w14:paraId="526DADED" w14:textId="10FDA4E0" w:rsidR="00722CEF" w:rsidRDefault="00722CEF" w:rsidP="00722CEF">
      <w:r>
        <w:t xml:space="preserve">Our understanding of the motivation for a TEI is that a UE that supports SRS carrier switching and that also supports Rel-17 </w:t>
      </w:r>
      <w:r w:rsidR="001B7986">
        <w:t xml:space="preserve">SRS antenna switching with more than two SRS resource sets may not support the combination of the two.  In this case, a new UE capability would need to be defined, and this can be done in the context of a TEI. </w:t>
      </w:r>
    </w:p>
    <w:p w14:paraId="362892C1" w14:textId="5B2B261F" w:rsidR="00D942D3" w:rsidRPr="004D56B7" w:rsidRDefault="00D942D3" w:rsidP="004D56B7">
      <w:pPr>
        <w:spacing w:after="0"/>
        <w:rPr>
          <w:b/>
          <w:bCs/>
          <w:szCs w:val="20"/>
          <w:u w:val="single"/>
        </w:rPr>
      </w:pPr>
      <w:r w:rsidRPr="004D56B7">
        <w:rPr>
          <w:b/>
          <w:bCs/>
          <w:szCs w:val="20"/>
          <w:u w:val="single"/>
        </w:rPr>
        <w:t>Observation 2.1:</w:t>
      </w:r>
    </w:p>
    <w:p w14:paraId="54BB9E87" w14:textId="7C3BB4D3" w:rsidR="00D942D3" w:rsidRPr="004D56B7" w:rsidRDefault="00D942D3" w:rsidP="004D56B7">
      <w:pPr>
        <w:pStyle w:val="ListParagraph"/>
        <w:numPr>
          <w:ilvl w:val="0"/>
          <w:numId w:val="36"/>
        </w:numPr>
        <w:rPr>
          <w:rFonts w:ascii="Arial" w:hAnsi="Arial" w:cs="Arial"/>
          <w:sz w:val="20"/>
          <w:szCs w:val="20"/>
        </w:rPr>
      </w:pPr>
      <w:r w:rsidRPr="004D56B7">
        <w:rPr>
          <w:rFonts w:ascii="Arial" w:hAnsi="Arial" w:cs="Arial"/>
          <w:sz w:val="20"/>
          <w:szCs w:val="20"/>
        </w:rPr>
        <w:t xml:space="preserve">Whether Rel-17 antenna switching configurations with more than two SRS resource sets should be added for SRS carrier switching has been discussed for </w:t>
      </w:r>
      <w:r w:rsidRPr="006B7E78">
        <w:rPr>
          <w:rFonts w:ascii="Arial" w:hAnsi="Arial" w:cs="Arial"/>
          <w:sz w:val="20"/>
          <w:szCs w:val="20"/>
        </w:rPr>
        <w:t>3</w:t>
      </w:r>
      <w:r w:rsidRPr="004D56B7">
        <w:rPr>
          <w:rFonts w:ascii="Arial" w:hAnsi="Arial" w:cs="Arial"/>
          <w:sz w:val="20"/>
          <w:szCs w:val="20"/>
        </w:rPr>
        <w:t xml:space="preserve"> meetings.</w:t>
      </w:r>
    </w:p>
    <w:p w14:paraId="493D270B" w14:textId="604F088D" w:rsidR="00D942D3" w:rsidRPr="004D56B7" w:rsidRDefault="004D56B7" w:rsidP="004D56B7">
      <w:pPr>
        <w:pStyle w:val="ListParagraph"/>
        <w:numPr>
          <w:ilvl w:val="0"/>
          <w:numId w:val="36"/>
        </w:numPr>
        <w:rPr>
          <w:rFonts w:ascii="Arial" w:hAnsi="Arial" w:cs="Arial"/>
          <w:sz w:val="20"/>
          <w:szCs w:val="20"/>
        </w:rPr>
      </w:pPr>
      <w:r>
        <w:rPr>
          <w:rFonts w:ascii="Arial" w:hAnsi="Arial" w:cs="Arial"/>
          <w:sz w:val="20"/>
          <w:szCs w:val="20"/>
          <w:lang w:val="en-US"/>
        </w:rPr>
        <w:t xml:space="preserve">There has been both consistent interest and concern expressed on specifying </w:t>
      </w:r>
      <w:r w:rsidR="00D942D3" w:rsidRPr="004D56B7">
        <w:rPr>
          <w:rFonts w:ascii="Arial" w:hAnsi="Arial" w:cs="Arial"/>
          <w:sz w:val="20"/>
          <w:szCs w:val="20"/>
        </w:rPr>
        <w:t>more than two SRS resource sets for SRS carrier switching.</w:t>
      </w:r>
    </w:p>
    <w:p w14:paraId="6376D6D5" w14:textId="7C3E0EEA" w:rsidR="00D942D3" w:rsidRPr="004D56B7" w:rsidRDefault="00385218" w:rsidP="004D56B7">
      <w:pPr>
        <w:pStyle w:val="ListParagraph"/>
        <w:numPr>
          <w:ilvl w:val="0"/>
          <w:numId w:val="36"/>
        </w:numPr>
        <w:rPr>
          <w:rFonts w:ascii="Arial" w:hAnsi="Arial" w:cs="Arial"/>
          <w:sz w:val="20"/>
          <w:szCs w:val="20"/>
        </w:rPr>
      </w:pPr>
      <w:r>
        <w:rPr>
          <w:rFonts w:ascii="Arial" w:hAnsi="Arial" w:cs="Arial"/>
          <w:sz w:val="20"/>
          <w:szCs w:val="20"/>
          <w:lang w:val="en-US"/>
        </w:rPr>
        <w:t>Companies</w:t>
      </w:r>
      <w:r w:rsidR="00D942D3" w:rsidRPr="004D56B7">
        <w:rPr>
          <w:rFonts w:ascii="Arial" w:hAnsi="Arial" w:cs="Arial"/>
          <w:sz w:val="20"/>
          <w:szCs w:val="20"/>
        </w:rPr>
        <w:t xml:space="preserve"> are free to propose </w:t>
      </w:r>
      <w:r w:rsidR="004D56B7" w:rsidRPr="004D56B7">
        <w:rPr>
          <w:rFonts w:ascii="Arial" w:hAnsi="Arial" w:cs="Arial"/>
          <w:sz w:val="20"/>
          <w:szCs w:val="20"/>
        </w:rPr>
        <w:t xml:space="preserve">more than </w:t>
      </w:r>
      <w:r w:rsidR="00D942D3" w:rsidRPr="004D56B7">
        <w:rPr>
          <w:rFonts w:ascii="Arial" w:hAnsi="Arial" w:cs="Arial"/>
          <w:sz w:val="20"/>
          <w:szCs w:val="20"/>
        </w:rPr>
        <w:t xml:space="preserve">two SRS resource sets </w:t>
      </w:r>
      <w:r w:rsidR="004D56B7" w:rsidRPr="004D56B7">
        <w:rPr>
          <w:rFonts w:ascii="Arial" w:hAnsi="Arial" w:cs="Arial"/>
          <w:sz w:val="20"/>
          <w:szCs w:val="20"/>
        </w:rPr>
        <w:t>either as a TEI or in future work items.</w:t>
      </w:r>
    </w:p>
    <w:p w14:paraId="4E36F827" w14:textId="3CE0EBDB" w:rsidR="00D942D3" w:rsidRDefault="00D942D3" w:rsidP="00722CEF"/>
    <w:p w14:paraId="19C7A123" w14:textId="6392CD3D" w:rsidR="00155BD4" w:rsidRDefault="00155BD4" w:rsidP="00722CEF">
      <w:r>
        <w:t>Since the specs are clear, there is no need to have a formal conclusion in our view, although a conclusion would also be fine.  However, this issue should somehow be closed so we can move on.</w:t>
      </w:r>
    </w:p>
    <w:p w14:paraId="6EE82A3A" w14:textId="60653DA7" w:rsidR="004D56B7" w:rsidRPr="004D56B7" w:rsidRDefault="004D56B7" w:rsidP="004D56B7">
      <w:pPr>
        <w:spacing w:after="0"/>
        <w:rPr>
          <w:b/>
          <w:bCs/>
          <w:u w:val="single"/>
        </w:rPr>
      </w:pPr>
      <w:r w:rsidRPr="004D56B7">
        <w:rPr>
          <w:b/>
          <w:bCs/>
          <w:u w:val="single"/>
        </w:rPr>
        <w:t>Proposal 2.1</w:t>
      </w:r>
    </w:p>
    <w:p w14:paraId="0C03DFB9" w14:textId="0332F444" w:rsidR="004D56B7" w:rsidRPr="004D56B7" w:rsidRDefault="004D56B7" w:rsidP="004D56B7">
      <w:pPr>
        <w:pStyle w:val="ListParagraph"/>
        <w:numPr>
          <w:ilvl w:val="0"/>
          <w:numId w:val="36"/>
        </w:numPr>
        <w:rPr>
          <w:rFonts w:ascii="Arial" w:hAnsi="Arial" w:cs="Arial"/>
          <w:sz w:val="20"/>
          <w:szCs w:val="20"/>
        </w:rPr>
      </w:pPr>
      <w:r w:rsidRPr="004D56B7">
        <w:rPr>
          <w:rFonts w:ascii="Arial" w:hAnsi="Arial" w:cs="Arial"/>
          <w:sz w:val="20"/>
          <w:szCs w:val="20"/>
        </w:rPr>
        <w:t>If there is insufficient interest in RAN1#116 to support more than two SRS resource sets for SRS carrier switching, leave such enhancements to future TEIs or work items.</w:t>
      </w:r>
    </w:p>
    <w:p w14:paraId="559CE894" w14:textId="77777777" w:rsidR="004D56B7" w:rsidRDefault="004D56B7" w:rsidP="00722CEF"/>
    <w:p w14:paraId="33CE474B" w14:textId="761D9A54" w:rsidR="00411120" w:rsidRDefault="00411120" w:rsidP="00411120">
      <w:pPr>
        <w:pStyle w:val="Heading2"/>
      </w:pPr>
      <w:r>
        <w:t>2.</w:t>
      </w:r>
      <w:r w:rsidR="00DC73BD">
        <w:t>2</w:t>
      </w:r>
      <w:r>
        <w:t xml:space="preserve"> Triggering by more than one DCI</w:t>
      </w:r>
    </w:p>
    <w:p w14:paraId="57CCE61D" w14:textId="624B460C" w:rsidR="00411120" w:rsidRDefault="00411120" w:rsidP="00411120">
      <w:pPr>
        <w:rPr>
          <w:lang w:val="en-GB"/>
        </w:rPr>
      </w:pPr>
      <w:r>
        <w:rPr>
          <w:lang w:val="en-GB"/>
        </w:rPr>
        <w:t xml:space="preserve">Discussion on the need for new </w:t>
      </w:r>
      <w:proofErr w:type="spellStart"/>
      <w:r>
        <w:rPr>
          <w:lang w:val="en-GB"/>
        </w:rPr>
        <w:t>behavior</w:t>
      </w:r>
      <w:proofErr w:type="spellEnd"/>
      <w:r>
        <w:rPr>
          <w:lang w:val="en-GB"/>
        </w:rPr>
        <w:t xml:space="preserve"> or new UE capability to address where there are overlapping SRS carrier switching triggers by multiple DCIs continued in RAN1#115. </w:t>
      </w:r>
      <w:r w:rsidR="0020469B">
        <w:rPr>
          <w:lang w:val="en-GB"/>
        </w:rPr>
        <w:t>Questions addressing if/how the current specifications constrain the delay among multiple triggering DCIs, including how switching away from and back to the switching-from cell</w:t>
      </w:r>
      <w:r w:rsidR="000D164D">
        <w:rPr>
          <w:lang w:val="en-GB"/>
        </w:rPr>
        <w:t xml:space="preserve"> is accounted for in the timing</w:t>
      </w:r>
      <w:r w:rsidR="0020469B">
        <w:rPr>
          <w:lang w:val="en-GB"/>
        </w:rPr>
        <w:t xml:space="preserve">, and whether the </w:t>
      </w:r>
      <w:r w:rsidR="000D164D">
        <w:rPr>
          <w:lang w:val="en-GB"/>
        </w:rPr>
        <w:t>SRS must be transmitted in the order that the corresponding triggering DCIs arrive in time (the ‘out of order’ issue)</w:t>
      </w:r>
      <w:r w:rsidR="00E74D6F">
        <w:rPr>
          <w:lang w:val="en-GB"/>
        </w:rPr>
        <w:t xml:space="preserve"> were discussed</w:t>
      </w:r>
      <w:r w:rsidR="000D164D">
        <w:rPr>
          <w:lang w:val="en-GB"/>
        </w:rPr>
        <w:t>.</w:t>
      </w:r>
    </w:p>
    <w:p w14:paraId="6CB9C854" w14:textId="4D1D7825" w:rsidR="000D164D" w:rsidRDefault="0003588F" w:rsidP="00411120">
      <w:pPr>
        <w:rPr>
          <w:lang w:val="en-GB"/>
        </w:rPr>
      </w:pPr>
      <w:r>
        <w:rPr>
          <w:lang w:val="en-GB"/>
        </w:rPr>
        <w:t>Since there was limited discussion of this issue, companies’ general views on this are at present unclear.</w:t>
      </w:r>
      <w:r w:rsidR="001C00CE">
        <w:rPr>
          <w:lang w:val="en-GB"/>
        </w:rPr>
        <w:t xml:space="preserve">  In the following we provide our understanding of the constraints on timing in the current spec.</w:t>
      </w:r>
    </w:p>
    <w:p w14:paraId="49CAA9BD" w14:textId="6EC87BDD" w:rsidR="001C00CE" w:rsidRDefault="00C13CB8" w:rsidP="001C00CE">
      <w:r>
        <w:t>The timing of, and collisions among,</w:t>
      </w:r>
      <w:r w:rsidR="001C00CE">
        <w:t xml:space="preserve"> aperiodic</w:t>
      </w:r>
      <w:r>
        <w:t>ally</w:t>
      </w:r>
      <w:r w:rsidR="001C00CE">
        <w:t xml:space="preserve"> trigger</w:t>
      </w:r>
      <w:r>
        <w:t>ed SRS</w:t>
      </w:r>
      <w:r w:rsidR="001C00CE">
        <w:t xml:space="preserve"> on the switching-to </w:t>
      </w:r>
      <w:r>
        <w:t xml:space="preserve">and switching-from </w:t>
      </w:r>
      <w:r w:rsidR="001C00CE">
        <w:t xml:space="preserve">cell </w:t>
      </w:r>
      <w:r>
        <w:t xml:space="preserve">are constrained </w:t>
      </w:r>
      <w:r w:rsidR="001C00CE">
        <w:t>by 38.213 6.2.1.3 with the following:</w:t>
      </w:r>
    </w:p>
    <w:tbl>
      <w:tblPr>
        <w:tblStyle w:val="TableGrid"/>
        <w:tblW w:w="0" w:type="auto"/>
        <w:tblLook w:val="04A0" w:firstRow="1" w:lastRow="0" w:firstColumn="1" w:lastColumn="0" w:noHBand="0" w:noVBand="1"/>
      </w:tblPr>
      <w:tblGrid>
        <w:gridCol w:w="9629"/>
      </w:tblGrid>
      <w:tr w:rsidR="001C00CE" w14:paraId="425BC39D" w14:textId="77777777" w:rsidTr="00281D72">
        <w:tc>
          <w:tcPr>
            <w:tcW w:w="9629" w:type="dxa"/>
          </w:tcPr>
          <w:p w14:paraId="7EDE9458" w14:textId="77777777" w:rsidR="001C00CE" w:rsidRPr="001C00CE" w:rsidRDefault="001C00CE" w:rsidP="00281D72">
            <w:pPr>
              <w:autoSpaceDN w:val="0"/>
              <w:spacing w:afterLines="50" w:after="120"/>
              <w:rPr>
                <w:rFonts w:ascii="Times New Roman" w:eastAsia="SimSun" w:hAnsi="Times New Roman" w:cs="Times New Roman"/>
                <w:sz w:val="20"/>
                <w:szCs w:val="20"/>
                <w:lang w:eastAsia="en-GB"/>
              </w:rPr>
            </w:pPr>
            <w:r w:rsidRPr="001C00CE">
              <w:rPr>
                <w:rFonts w:ascii="Times New Roman" w:eastAsia="SimSun" w:hAnsi="Times New Roman" w:cs="Times New Roman"/>
                <w:sz w:val="20"/>
                <w:szCs w:val="20"/>
                <w:lang w:eastAsia="en-GB"/>
              </w:rPr>
              <w:t xml:space="preserve">For </w:t>
            </w:r>
            <w:r w:rsidRPr="001C00CE">
              <w:rPr>
                <w:rFonts w:ascii="Times New Roman" w:eastAsia="SimSun" w:hAnsi="Times New Roman" w:cs="Times New Roman"/>
                <w:i/>
                <w:sz w:val="20"/>
                <w:szCs w:val="20"/>
                <w:lang w:eastAsia="en-GB"/>
              </w:rPr>
              <w:t>n</w:t>
            </w:r>
            <w:r w:rsidRPr="001C00CE">
              <w:rPr>
                <w:rFonts w:ascii="Times New Roman" w:eastAsia="SimSun" w:hAnsi="Times New Roman" w:cs="Times New Roman"/>
                <w:sz w:val="20"/>
                <w:szCs w:val="20"/>
                <w:lang w:eastAsia="en-GB"/>
              </w:rPr>
              <w:t>-</w:t>
            </w:r>
            <w:proofErr w:type="spellStart"/>
            <w:r w:rsidRPr="001C00CE">
              <w:rPr>
                <w:rFonts w:ascii="Times New Roman" w:eastAsia="SimSun" w:hAnsi="Times New Roman" w:cs="Times New Roman"/>
                <w:sz w:val="20"/>
                <w:szCs w:val="20"/>
                <w:lang w:eastAsia="en-GB"/>
              </w:rPr>
              <w:t>th</w:t>
            </w:r>
            <w:proofErr w:type="spellEnd"/>
            <w:r w:rsidRPr="001C00CE">
              <w:rPr>
                <w:rFonts w:ascii="Times New Roman" w:eastAsia="SimSun" w:hAnsi="Times New Roman" w:cs="Times New Roman"/>
                <w:sz w:val="20"/>
                <w:szCs w:val="20"/>
                <w:lang w:eastAsia="en-GB"/>
              </w:rPr>
              <w:t xml:space="preserve"> (</w:t>
            </w:r>
            <w:r w:rsidRPr="001C00CE">
              <w:rPr>
                <w:rFonts w:ascii="Times New Roman" w:eastAsia="SimSun" w:hAnsi="Times New Roman" w:cs="Times New Roman"/>
                <w:i/>
                <w:sz w:val="20"/>
                <w:szCs w:val="20"/>
                <w:lang w:eastAsia="en-GB"/>
              </w:rPr>
              <w:t xml:space="preserve">n ≥ </w:t>
            </w:r>
            <w:r w:rsidRPr="001C00CE">
              <w:rPr>
                <w:rFonts w:ascii="Times New Roman" w:eastAsia="SimSun" w:hAnsi="Times New Roman" w:cs="Times New Roman"/>
                <w:sz w:val="20"/>
                <w:szCs w:val="20"/>
                <w:lang w:eastAsia="en-GB"/>
              </w:rPr>
              <w:t xml:space="preserve">1) aperiodic SRS transmission on a cell </w:t>
            </w:r>
            <w:r w:rsidRPr="001C00CE">
              <w:rPr>
                <w:rFonts w:ascii="Times New Roman" w:eastAsia="SimSun" w:hAnsi="Times New Roman" w:cs="Times New Roman"/>
                <w:i/>
                <w:sz w:val="20"/>
                <w:szCs w:val="20"/>
                <w:lang w:eastAsia="en-GB"/>
              </w:rPr>
              <w:t>c</w:t>
            </w:r>
            <w:r w:rsidRPr="001C00CE">
              <w:rPr>
                <w:rFonts w:ascii="Times New Roman" w:eastAsia="SimSun" w:hAnsi="Times New Roman" w:cs="Times New Roman"/>
                <w:sz w:val="20"/>
                <w:szCs w:val="20"/>
                <w:lang w:eastAsia="en-GB"/>
              </w:rPr>
              <w:t xml:space="preserve">, upon detection of a positive SRS request </w:t>
            </w:r>
            <w:r w:rsidRPr="001C00CE">
              <w:rPr>
                <w:rFonts w:ascii="Times New Roman" w:eastAsia="SimSun" w:hAnsi="Times New Roman" w:cs="Times New Roman"/>
                <w:sz w:val="20"/>
                <w:szCs w:val="20"/>
                <w:highlight w:val="yellow"/>
                <w:lang w:eastAsia="en-GB"/>
              </w:rPr>
              <w:t>on a grant</w:t>
            </w:r>
            <w:r w:rsidRPr="001C00CE">
              <w:rPr>
                <w:rFonts w:ascii="Times New Roman" w:eastAsia="SimSun" w:hAnsi="Times New Roman" w:cs="Times New Roman"/>
                <w:sz w:val="20"/>
                <w:szCs w:val="20"/>
                <w:lang w:eastAsia="en-GB"/>
              </w:rPr>
              <w:t xml:space="preserve">, the UE shall commence this SRS transmission on the configured symbol and slot </w:t>
            </w:r>
            <w:proofErr w:type="gramStart"/>
            <w:r w:rsidRPr="001C00CE">
              <w:rPr>
                <w:rFonts w:ascii="Times New Roman" w:eastAsia="SimSun" w:hAnsi="Times New Roman" w:cs="Times New Roman"/>
                <w:sz w:val="20"/>
                <w:szCs w:val="20"/>
                <w:lang w:eastAsia="en-GB"/>
              </w:rPr>
              <w:t>provided</w:t>
            </w:r>
            <w:proofErr w:type="gramEnd"/>
          </w:p>
          <w:p w14:paraId="3BEDE842" w14:textId="77777777" w:rsidR="001C00CE" w:rsidRPr="001C00CE" w:rsidRDefault="001C00CE" w:rsidP="00281D72">
            <w:pPr>
              <w:spacing w:after="180"/>
              <w:ind w:left="568" w:hanging="284"/>
              <w:rPr>
                <w:rFonts w:ascii="Times New Roman" w:eastAsia="SimSun" w:hAnsi="Times New Roman" w:cs="Times New Roman"/>
                <w:sz w:val="20"/>
                <w:szCs w:val="20"/>
                <w:lang w:val="x-none"/>
              </w:rPr>
            </w:pPr>
            <w:r w:rsidRPr="001C00CE">
              <w:rPr>
                <w:rFonts w:ascii="Times New Roman" w:eastAsia="SimSun" w:hAnsi="Times New Roman" w:cs="Times New Roman"/>
                <w:sz w:val="20"/>
                <w:szCs w:val="20"/>
                <w:lang w:val="x-none"/>
              </w:rPr>
              <w:t>-</w:t>
            </w:r>
            <w:r w:rsidRPr="001C00CE">
              <w:rPr>
                <w:rFonts w:ascii="Times New Roman" w:eastAsia="SimSun" w:hAnsi="Times New Roman" w:cs="Times New Roman"/>
                <w:sz w:val="20"/>
                <w:szCs w:val="20"/>
                <w:lang w:val="x-none"/>
              </w:rPr>
              <w:tab/>
              <w:t>it is no earlier than the summation of</w:t>
            </w:r>
          </w:p>
          <w:p w14:paraId="30F40238" w14:textId="77777777" w:rsidR="001C00CE" w:rsidRPr="001C00CE" w:rsidRDefault="001C00CE" w:rsidP="00281D72">
            <w:pPr>
              <w:spacing w:after="180"/>
              <w:ind w:left="851" w:hanging="284"/>
              <w:rPr>
                <w:rFonts w:ascii="Times New Roman" w:eastAsia="SimSun" w:hAnsi="Times New Roman" w:cs="Times New Roman"/>
                <w:sz w:val="20"/>
                <w:szCs w:val="20"/>
                <w:lang w:val="x-none"/>
              </w:rPr>
            </w:pPr>
            <w:r w:rsidRPr="001C00CE">
              <w:rPr>
                <w:rFonts w:ascii="Times New Roman" w:eastAsia="SimSun" w:hAnsi="Times New Roman" w:cs="Times New Roman"/>
                <w:sz w:val="20"/>
                <w:szCs w:val="20"/>
                <w:lang w:val="x-none"/>
              </w:rPr>
              <w:t>-</w:t>
            </w:r>
            <w:r w:rsidRPr="001C00CE">
              <w:rPr>
                <w:rFonts w:ascii="Times New Roman" w:eastAsia="SimSun" w:hAnsi="Times New Roman" w:cs="Times New Roman"/>
                <w:sz w:val="20"/>
                <w:szCs w:val="20"/>
                <w:lang w:val="x-none"/>
              </w:rPr>
              <w:tab/>
              <w:t xml:space="preserve">the maximum time duration between the two durations spanned by N OFDM symbols of the numerology of cell </w:t>
            </w:r>
            <w:r w:rsidRPr="001C00CE">
              <w:rPr>
                <w:rFonts w:ascii="Times New Roman" w:eastAsia="SimSun" w:hAnsi="Times New Roman" w:cs="Times New Roman"/>
                <w:i/>
                <w:sz w:val="20"/>
                <w:szCs w:val="20"/>
                <w:lang w:val="x-none"/>
              </w:rPr>
              <w:t>c</w:t>
            </w:r>
            <w:r w:rsidRPr="001C00CE">
              <w:rPr>
                <w:rFonts w:ascii="Times New Roman" w:eastAsia="SimSun" w:hAnsi="Times New Roman" w:cs="Times New Roman"/>
                <w:sz w:val="20"/>
                <w:szCs w:val="20"/>
                <w:lang w:val="x-none"/>
              </w:rPr>
              <w:t xml:space="preserve"> and the cell carrying the grant respectively, and</w:t>
            </w:r>
          </w:p>
          <w:p w14:paraId="1C05FACF" w14:textId="77777777" w:rsidR="001C00CE" w:rsidRPr="001C00CE" w:rsidRDefault="001C00CE" w:rsidP="00281D72">
            <w:pPr>
              <w:spacing w:after="180"/>
              <w:ind w:left="851" w:hanging="284"/>
              <w:rPr>
                <w:rFonts w:ascii="Times New Roman" w:eastAsia="SimSun" w:hAnsi="Times New Roman" w:cs="Times New Roman"/>
                <w:i/>
                <w:sz w:val="20"/>
                <w:szCs w:val="20"/>
                <w:lang w:val="x-none"/>
              </w:rPr>
            </w:pPr>
            <w:r w:rsidRPr="001C00CE">
              <w:rPr>
                <w:rFonts w:ascii="Times New Roman" w:eastAsia="SimSun" w:hAnsi="Times New Roman" w:cs="Times New Roman"/>
                <w:sz w:val="20"/>
                <w:szCs w:val="20"/>
                <w:lang w:val="x-none"/>
              </w:rPr>
              <w:lastRenderedPageBreak/>
              <w:t>-</w:t>
            </w:r>
            <w:r w:rsidRPr="001C00CE">
              <w:rPr>
                <w:rFonts w:ascii="Times New Roman" w:eastAsia="SimSun" w:hAnsi="Times New Roman" w:cs="Times New Roman"/>
                <w:sz w:val="20"/>
                <w:szCs w:val="20"/>
                <w:lang w:val="x-none"/>
              </w:rPr>
              <w:tab/>
              <w:t xml:space="preserve">the UL or DL RF retuning time [11, TS 38.133] as defined by higher layer parameters </w:t>
            </w:r>
            <w:proofErr w:type="spellStart"/>
            <w:r w:rsidRPr="001C00CE">
              <w:rPr>
                <w:rFonts w:ascii="Times New Roman" w:eastAsia="SimSun" w:hAnsi="Times New Roman" w:cs="Times New Roman"/>
                <w:i/>
                <w:sz w:val="20"/>
                <w:szCs w:val="20"/>
                <w:lang w:val="x-none"/>
              </w:rPr>
              <w:t>switchingTimeUL</w:t>
            </w:r>
            <w:proofErr w:type="spellEnd"/>
            <w:r w:rsidRPr="001C00CE">
              <w:rPr>
                <w:rFonts w:ascii="Times New Roman" w:eastAsia="SimSun" w:hAnsi="Times New Roman" w:cs="Times New Roman"/>
                <w:color w:val="000000"/>
                <w:sz w:val="20"/>
                <w:szCs w:val="20"/>
                <w:lang w:val="x-none"/>
              </w:rPr>
              <w:t xml:space="preserve"> and </w:t>
            </w:r>
            <w:proofErr w:type="spellStart"/>
            <w:r w:rsidRPr="001C00CE">
              <w:rPr>
                <w:rFonts w:ascii="Times New Roman" w:eastAsia="SimSun" w:hAnsi="Times New Roman" w:cs="Times New Roman"/>
                <w:i/>
                <w:sz w:val="20"/>
                <w:szCs w:val="20"/>
                <w:lang w:val="x-none"/>
              </w:rPr>
              <w:t>switchingTimeDL</w:t>
            </w:r>
            <w:proofErr w:type="spellEnd"/>
            <w:r w:rsidRPr="001C00CE">
              <w:rPr>
                <w:rFonts w:ascii="Times New Roman" w:eastAsia="SimSun" w:hAnsi="Times New Roman" w:cs="Times New Roman"/>
                <w:color w:val="000000"/>
                <w:sz w:val="20"/>
                <w:szCs w:val="20"/>
                <w:lang w:val="x-none"/>
              </w:rPr>
              <w:t xml:space="preserve"> of </w:t>
            </w:r>
            <w:r w:rsidRPr="001C00CE">
              <w:rPr>
                <w:rFonts w:ascii="Times New Roman" w:eastAsia="SimSun" w:hAnsi="Times New Roman" w:cs="Times New Roman"/>
                <w:i/>
                <w:color w:val="000000"/>
                <w:sz w:val="20"/>
                <w:szCs w:val="20"/>
                <w:lang w:val="x-none"/>
              </w:rPr>
              <w:t>SRS-</w:t>
            </w:r>
            <w:proofErr w:type="spellStart"/>
            <w:r w:rsidRPr="001C00CE">
              <w:rPr>
                <w:rFonts w:ascii="Times New Roman" w:eastAsia="SimSun" w:hAnsi="Times New Roman" w:cs="Times New Roman"/>
                <w:i/>
                <w:color w:val="000000"/>
                <w:sz w:val="20"/>
                <w:szCs w:val="20"/>
                <w:lang w:val="x-none"/>
              </w:rPr>
              <w:t>SwitchingTimeNR</w:t>
            </w:r>
            <w:proofErr w:type="spellEnd"/>
            <w:r w:rsidRPr="001C00CE">
              <w:rPr>
                <w:rFonts w:ascii="Times New Roman" w:eastAsia="SimSun" w:hAnsi="Times New Roman" w:cs="Times New Roman"/>
                <w:i/>
                <w:sz w:val="20"/>
                <w:szCs w:val="20"/>
                <w:lang w:val="x-none"/>
              </w:rPr>
              <w:t>,</w:t>
            </w:r>
          </w:p>
          <w:p w14:paraId="2C739039" w14:textId="77777777" w:rsidR="001C00CE" w:rsidRPr="001C00CE" w:rsidRDefault="001C00CE" w:rsidP="00281D72">
            <w:pPr>
              <w:spacing w:after="180"/>
              <w:ind w:left="568" w:hanging="284"/>
              <w:rPr>
                <w:rFonts w:ascii="Times New Roman" w:eastAsia="SimSun" w:hAnsi="Times New Roman" w:cs="Times New Roman"/>
                <w:sz w:val="20"/>
                <w:szCs w:val="20"/>
                <w:lang w:val="x-none"/>
              </w:rPr>
            </w:pPr>
            <w:r w:rsidRPr="001C00CE">
              <w:rPr>
                <w:rFonts w:ascii="Times New Roman" w:eastAsia="SimSun" w:hAnsi="Times New Roman" w:cs="Times New Roman"/>
                <w:sz w:val="20"/>
                <w:szCs w:val="20"/>
                <w:lang w:val="x-none"/>
              </w:rPr>
              <w:t>-</w:t>
            </w:r>
            <w:r w:rsidRPr="001C00CE">
              <w:rPr>
                <w:rFonts w:ascii="Times New Roman" w:eastAsia="SimSun" w:hAnsi="Times New Roman" w:cs="Times New Roman"/>
                <w:sz w:val="20"/>
                <w:szCs w:val="20"/>
                <w:lang w:val="x-none"/>
              </w:rPr>
              <w:tab/>
              <w:t xml:space="preserve">it does not collide with any previous SRS transmissions, or interruption due to UL or DL RF retuning time, except if the previous SRS transmission is in the same cell </w:t>
            </w:r>
            <w:r w:rsidRPr="001C00CE">
              <w:rPr>
                <w:rFonts w:ascii="Times New Roman" w:eastAsia="SimSun" w:hAnsi="Times New Roman" w:cs="Times New Roman"/>
                <w:i/>
                <w:iCs/>
                <w:sz w:val="20"/>
                <w:szCs w:val="20"/>
                <w:lang w:val="x-none"/>
              </w:rPr>
              <w:t>c</w:t>
            </w:r>
            <w:r w:rsidRPr="001C00CE">
              <w:rPr>
                <w:rFonts w:ascii="Times New Roman" w:eastAsia="SimSun" w:hAnsi="Times New Roman" w:cs="Times New Roman"/>
                <w:sz w:val="20"/>
                <w:szCs w:val="20"/>
                <w:lang w:val="x-none"/>
              </w:rPr>
              <w:t xml:space="preserve"> and the UE reports </w:t>
            </w:r>
            <w:r w:rsidRPr="001C00CE">
              <w:rPr>
                <w:rFonts w:ascii="Times New Roman" w:eastAsia="SimSun" w:hAnsi="Times New Roman" w:cs="Times New Roman"/>
                <w:i/>
                <w:iCs/>
                <w:sz w:val="20"/>
                <w:szCs w:val="20"/>
                <w:lang w:val="x-none"/>
              </w:rPr>
              <w:t>SRS-</w:t>
            </w:r>
            <w:proofErr w:type="spellStart"/>
            <w:r w:rsidRPr="001C00CE">
              <w:rPr>
                <w:rFonts w:ascii="Times New Roman" w:eastAsia="SimSun" w:hAnsi="Times New Roman" w:cs="Times New Roman"/>
                <w:i/>
                <w:iCs/>
                <w:sz w:val="20"/>
                <w:szCs w:val="20"/>
                <w:lang w:val="x-none"/>
              </w:rPr>
              <w:t>StayInTargetCC</w:t>
            </w:r>
            <w:proofErr w:type="spellEnd"/>
            <w:r w:rsidRPr="001C00CE">
              <w:rPr>
                <w:rFonts w:ascii="Times New Roman" w:eastAsia="SimSun" w:hAnsi="Times New Roman" w:cs="Times New Roman"/>
                <w:i/>
                <w:iCs/>
                <w:sz w:val="20"/>
                <w:szCs w:val="20"/>
                <w:lang w:val="x-none"/>
              </w:rPr>
              <w:t xml:space="preserve"> </w:t>
            </w:r>
            <w:r w:rsidRPr="001C00CE">
              <w:rPr>
                <w:rFonts w:ascii="Times New Roman" w:eastAsia="SimSun" w:hAnsi="Times New Roman" w:cs="Times New Roman"/>
                <w:sz w:val="20"/>
                <w:szCs w:val="20"/>
                <w:lang w:val="x-none"/>
              </w:rPr>
              <w:t>for the corresponding band combination.</w:t>
            </w:r>
          </w:p>
          <w:p w14:paraId="687096F2" w14:textId="77777777" w:rsidR="001C00CE" w:rsidRPr="0008759D" w:rsidRDefault="001C00CE" w:rsidP="00281D72">
            <w:pPr>
              <w:spacing w:after="180"/>
              <w:ind w:left="568" w:hanging="284"/>
              <w:rPr>
                <w:rFonts w:ascii="Times New Roman" w:eastAsia="SimSun" w:hAnsi="Times New Roman" w:cs="Times New Roman"/>
                <w:sz w:val="20"/>
                <w:szCs w:val="20"/>
                <w:lang w:val="x-none"/>
              </w:rPr>
            </w:pPr>
            <w:r w:rsidRPr="001C00CE">
              <w:rPr>
                <w:rFonts w:ascii="Times New Roman" w:eastAsia="SimSun" w:hAnsi="Times New Roman" w:cs="Times New Roman"/>
                <w:sz w:val="20"/>
                <w:szCs w:val="20"/>
                <w:lang w:val="x-none"/>
              </w:rPr>
              <w:t xml:space="preserve">otherwise, </w:t>
            </w:r>
            <w:r w:rsidRPr="001C00CE">
              <w:rPr>
                <w:rFonts w:ascii="Times New Roman" w:eastAsia="SimSun" w:hAnsi="Times New Roman" w:cs="Times New Roman"/>
                <w:i/>
                <w:sz w:val="20"/>
                <w:szCs w:val="20"/>
                <w:lang w:val="x-none"/>
              </w:rPr>
              <w:t>n</w:t>
            </w:r>
            <w:r w:rsidRPr="001C00CE">
              <w:rPr>
                <w:rFonts w:ascii="Times New Roman" w:eastAsia="SimSun" w:hAnsi="Times New Roman" w:cs="Times New Roman"/>
                <w:sz w:val="20"/>
                <w:szCs w:val="20"/>
                <w:lang w:val="x-none"/>
              </w:rPr>
              <w:t>-</w:t>
            </w:r>
            <w:proofErr w:type="spellStart"/>
            <w:r w:rsidRPr="001C00CE">
              <w:rPr>
                <w:rFonts w:ascii="Times New Roman" w:eastAsia="SimSun" w:hAnsi="Times New Roman" w:cs="Times New Roman"/>
                <w:sz w:val="20"/>
                <w:szCs w:val="20"/>
                <w:lang w:val="x-none"/>
              </w:rPr>
              <w:t>th</w:t>
            </w:r>
            <w:proofErr w:type="spellEnd"/>
            <w:r w:rsidRPr="001C00CE">
              <w:rPr>
                <w:rFonts w:ascii="Times New Roman" w:eastAsia="SimSun" w:hAnsi="Times New Roman" w:cs="Times New Roman"/>
                <w:sz w:val="20"/>
                <w:szCs w:val="20"/>
                <w:lang w:val="x-none"/>
              </w:rPr>
              <w:t xml:space="preserve"> SRS transmission is dropped, where N is the reported capability as the minimum time interval in unit of symbols, between the DCI triggering and aperiodic SRS transmission.</w:t>
            </w:r>
          </w:p>
        </w:tc>
      </w:tr>
    </w:tbl>
    <w:p w14:paraId="556C47FC" w14:textId="77777777" w:rsidR="001C00CE" w:rsidRDefault="001C00CE" w:rsidP="001C00CE"/>
    <w:p w14:paraId="7006D159" w14:textId="768001D4" w:rsidR="001366E5" w:rsidRDefault="001366E5" w:rsidP="001366E5">
      <w:r>
        <w:t xml:space="preserve">In </w:t>
      </w:r>
      <w:r w:rsidR="009F0D02">
        <w:t xml:space="preserve">one </w:t>
      </w:r>
      <w:r>
        <w:t>view</w:t>
      </w:r>
      <w:r w:rsidR="009F0D02">
        <w:t xml:space="preserve"> from RAN1#115 discussions</w:t>
      </w:r>
      <w:r>
        <w:t>, for the n-</w:t>
      </w:r>
      <w:proofErr w:type="spellStart"/>
      <w:r>
        <w:t>th</w:t>
      </w:r>
      <w:proofErr w:type="spellEnd"/>
      <w:r>
        <w:t xml:space="preserve"> SRS transmission, if the UE receives a grant, the UE should commence transmission according to the conditions that follow, that is, there can be one grant for each of the n transmissions, such as by DCI 1_1/1_2/2_3, or there can alternatively be a single grant for all SRS transmissions as for DCI 2_3.  In other words, if there was only one grant, then “on a grant” should have been something like “on a grant for all of the n SRS transmissions”.</w:t>
      </w:r>
    </w:p>
    <w:p w14:paraId="4536ED0C" w14:textId="17FA12E3" w:rsidR="009F0D02" w:rsidRDefault="009F0D02" w:rsidP="001366E5">
      <w:r>
        <w:t xml:space="preserve">A second view expressed in RAN1#115 was that the n SRS transmissions are only from one grant, and where multiple DCI cause overlapping SRS transmissions is an error case.  One issue raised from this point of view was that the multiple DCI case could require </w:t>
      </w:r>
      <w:r w:rsidR="00176BD5">
        <w:t xml:space="preserve">new </w:t>
      </w:r>
      <w:r>
        <w:t>dropping rules</w:t>
      </w:r>
      <w:r w:rsidR="00176BD5">
        <w:t xml:space="preserve"> if collisions from multiple DCI are not left as an error case</w:t>
      </w:r>
      <w:r>
        <w:t>.</w:t>
      </w:r>
    </w:p>
    <w:p w14:paraId="1F2C47CF" w14:textId="1D3441FC" w:rsidR="00C25F87" w:rsidRDefault="00C25F87" w:rsidP="001366E5">
      <w:r>
        <w:fldChar w:fldCharType="begin"/>
      </w:r>
      <w:r>
        <w:instrText xml:space="preserve"> REF _Ref158394021 \h </w:instrText>
      </w:r>
      <w:r>
        <w:fldChar w:fldCharType="separate"/>
      </w:r>
      <w:r w:rsidR="006B7E78">
        <w:t xml:space="preserve">Figure </w:t>
      </w:r>
      <w:r w:rsidR="006B7E78">
        <w:rPr>
          <w:noProof/>
        </w:rPr>
        <w:t>1</w:t>
      </w:r>
      <w:r>
        <w:fldChar w:fldCharType="end"/>
      </w:r>
      <w:r>
        <w:t xml:space="preserve"> </w:t>
      </w:r>
      <w:r>
        <w:fldChar w:fldCharType="begin"/>
      </w:r>
      <w:r>
        <w:instrText xml:space="preserve"> REF _Ref158394021 \p \h </w:instrText>
      </w:r>
      <w:r>
        <w:fldChar w:fldCharType="separate"/>
      </w:r>
      <w:r w:rsidR="006B7E78">
        <w:t>below</w:t>
      </w:r>
      <w:r>
        <w:fldChar w:fldCharType="end"/>
      </w:r>
      <w:r>
        <w:t xml:space="preserve"> interprets the case where two grants </w:t>
      </w:r>
      <w:r w:rsidR="009B1009">
        <w:t xml:space="preserve">each </w:t>
      </w:r>
      <w:r>
        <w:t xml:space="preserve">trigger </w:t>
      </w:r>
      <w:r w:rsidR="009B1009">
        <w:t xml:space="preserve">one </w:t>
      </w:r>
      <w:r>
        <w:t>SRS</w:t>
      </w:r>
      <w:r w:rsidR="00520AD2">
        <w:t xml:space="preserve"> transmissions</w:t>
      </w:r>
      <w:r>
        <w:t xml:space="preserve"> on </w:t>
      </w:r>
      <w:r w:rsidR="009B1009">
        <w:t xml:space="preserve">a </w:t>
      </w:r>
      <w:r>
        <w:t xml:space="preserve">cell.  Here ‘C1’ is a switching-from cell </w:t>
      </w:r>
      <w:r w:rsidR="009B1009">
        <w:t>while</w:t>
      </w:r>
      <w:r>
        <w:t xml:space="preserve"> C2 </w:t>
      </w:r>
      <w:r w:rsidR="009B1009">
        <w:t xml:space="preserve">and C3 are </w:t>
      </w:r>
      <w:r>
        <w:t>switching-to cell</w:t>
      </w:r>
      <w:r w:rsidR="009B1009">
        <w:t>s</w:t>
      </w:r>
      <w:r>
        <w:t xml:space="preserve">.  </w:t>
      </w:r>
      <w:r w:rsidR="004D5940">
        <w:t xml:space="preserve">The PDCCH’s could be closely transmitted in time on </w:t>
      </w:r>
      <w:r w:rsidR="00DA0CA4">
        <w:t xml:space="preserve">one cell or on </w:t>
      </w:r>
      <w:r w:rsidR="004D5940">
        <w:t>two different cells</w:t>
      </w:r>
      <w:r w:rsidR="00DA0CA4">
        <w:t xml:space="preserve"> depending on which of DCI formats 1_1/1_2 or 2_3 and if self-scheduling </w:t>
      </w:r>
      <w:r w:rsidR="00E74D6F">
        <w:t>and/</w:t>
      </w:r>
      <w:r w:rsidR="00DA0CA4">
        <w:t>or cross-carrier scheduling is used</w:t>
      </w:r>
      <w:r w:rsidR="004D5940">
        <w:t xml:space="preserve">.  </w:t>
      </w:r>
      <w:r>
        <w:t>The transmissions must meet the two conditions in the 38.213 text above</w:t>
      </w:r>
      <w:r w:rsidR="00880B58">
        <w:t>.</w:t>
      </w:r>
      <w:r>
        <w:t xml:space="preserve"> Firstly, </w:t>
      </w:r>
      <w:r w:rsidR="009B1009">
        <w:t>each</w:t>
      </w:r>
      <w:r>
        <w:t xml:space="preserve"> must be no earlier than the summation of the minimum delay between SRS and PDCCH (determined according to the numerology of the cells) and the retuning time.  Secondly, each SRS transmission must not collide with any previous </w:t>
      </w:r>
      <w:r w:rsidR="00C86EB2">
        <w:t xml:space="preserve">SRS </w:t>
      </w:r>
      <w:r>
        <w:t xml:space="preserve">transmission, including the retuning time. </w:t>
      </w:r>
      <w:r w:rsidR="008E7A3F">
        <w:t xml:space="preserve"> </w:t>
      </w:r>
      <w:r w:rsidR="000568F8">
        <w:t xml:space="preserve">As shown in </w:t>
      </w:r>
      <w:r w:rsidR="008E7A3F">
        <w:t xml:space="preserve">the </w:t>
      </w:r>
      <w:r w:rsidR="000568F8">
        <w:t>figure</w:t>
      </w:r>
      <w:r w:rsidR="008E7A3F">
        <w:t>,</w:t>
      </w:r>
      <w:r>
        <w:t xml:space="preserve"> </w:t>
      </w:r>
      <w:r w:rsidR="000568F8">
        <w:t xml:space="preserve">the 38.214 text above constrains </w:t>
      </w:r>
      <w:r w:rsidR="008E7A3F">
        <w:t>subsequent switches on the switching</w:t>
      </w:r>
      <w:r w:rsidR="000568F8">
        <w:t>-</w:t>
      </w:r>
      <w:r w:rsidR="008E7A3F">
        <w:t xml:space="preserve">from cell </w:t>
      </w:r>
      <w:r w:rsidR="000568F8">
        <w:t xml:space="preserve">to </w:t>
      </w:r>
      <w:r w:rsidR="008E7A3F">
        <w:t>be delayed enough to allow switching time back to and away from the switching from cell.</w:t>
      </w:r>
      <w:r w:rsidR="000568F8">
        <w:t xml:space="preserve">  Therefore, it seems to us that </w:t>
      </w:r>
      <w:r w:rsidR="00810108">
        <w:t>SRS dropping is defined for</w:t>
      </w:r>
      <w:r w:rsidR="00880B58">
        <w:t xml:space="preserve"> where</w:t>
      </w:r>
      <w:r w:rsidR="00810108">
        <w:t xml:space="preserve"> </w:t>
      </w:r>
      <w:r w:rsidR="000568F8">
        <w:t>multiple grants switc</w:t>
      </w:r>
      <w:r w:rsidR="00880B58">
        <w:t>h</w:t>
      </w:r>
      <w:r w:rsidR="000568F8">
        <w:t xml:space="preserve"> away from a single switching-from cell with the current </w:t>
      </w:r>
      <w:proofErr w:type="gramStart"/>
      <w:r w:rsidR="000568F8">
        <w:t>text, and</w:t>
      </w:r>
      <w:proofErr w:type="gramEnd"/>
      <w:r w:rsidR="000568F8">
        <w:t xml:space="preserve"> is </w:t>
      </w:r>
      <w:r w:rsidR="00810108">
        <w:t xml:space="preserve">so </w:t>
      </w:r>
      <w:r w:rsidR="000568F8">
        <w:t>not an error case.</w:t>
      </w:r>
    </w:p>
    <w:p w14:paraId="5EE85E4D" w14:textId="2BC28FD2" w:rsidR="00C25F87" w:rsidRDefault="009B1009" w:rsidP="00C25F87">
      <w:pPr>
        <w:keepNext/>
      </w:pPr>
      <w:r w:rsidRPr="009B1009">
        <w:rPr>
          <w:noProof/>
        </w:rPr>
        <w:lastRenderedPageBreak/>
        <w:drawing>
          <wp:inline distT="0" distB="0" distL="0" distR="0" wp14:anchorId="7D1C48DA" wp14:editId="27B2CB82">
            <wp:extent cx="6678808" cy="43583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4391" b="15822"/>
                    <a:stretch/>
                  </pic:blipFill>
                  <pic:spPr bwMode="auto">
                    <a:xfrm>
                      <a:off x="0" y="0"/>
                      <a:ext cx="6701330" cy="4373081"/>
                    </a:xfrm>
                    <a:prstGeom prst="rect">
                      <a:avLst/>
                    </a:prstGeom>
                    <a:noFill/>
                    <a:ln>
                      <a:noFill/>
                    </a:ln>
                    <a:extLst>
                      <a:ext uri="{53640926-AAD7-44D8-BBD7-CCE9431645EC}">
                        <a14:shadowObscured xmlns:a14="http://schemas.microsoft.com/office/drawing/2010/main"/>
                      </a:ext>
                    </a:extLst>
                  </pic:spPr>
                </pic:pic>
              </a:graphicData>
            </a:graphic>
          </wp:inline>
        </w:drawing>
      </w:r>
    </w:p>
    <w:p w14:paraId="016E459C" w14:textId="5BF68CBB" w:rsidR="001C00CE" w:rsidRDefault="00C25F87" w:rsidP="00C25F87">
      <w:pPr>
        <w:pStyle w:val="Caption"/>
        <w:jc w:val="center"/>
        <w:rPr>
          <w:lang w:val="en-GB"/>
        </w:rPr>
      </w:pPr>
      <w:bookmarkStart w:id="1" w:name="_Ref158394021"/>
      <w:r>
        <w:t xml:space="preserve">Figure </w:t>
      </w:r>
      <w:r>
        <w:fldChar w:fldCharType="begin"/>
      </w:r>
      <w:r>
        <w:instrText xml:space="preserve"> SEQ Figure \* ARABIC </w:instrText>
      </w:r>
      <w:r>
        <w:fldChar w:fldCharType="separate"/>
      </w:r>
      <w:r w:rsidR="006B7E78">
        <w:rPr>
          <w:noProof/>
        </w:rPr>
        <w:t>1</w:t>
      </w:r>
      <w:r>
        <w:fldChar w:fldCharType="end"/>
      </w:r>
      <w:bookmarkEnd w:id="1"/>
    </w:p>
    <w:p w14:paraId="01306929" w14:textId="66BA4F65" w:rsidR="0003588F" w:rsidRDefault="00C86EB2" w:rsidP="000F63FD">
      <w:r>
        <w:t xml:space="preserve">In </w:t>
      </w:r>
      <w:r>
        <w:fldChar w:fldCharType="begin"/>
      </w:r>
      <w:r>
        <w:instrText xml:space="preserve"> REF _Ref158394021 \h </w:instrText>
      </w:r>
      <w:r>
        <w:fldChar w:fldCharType="separate"/>
      </w:r>
      <w:r w:rsidR="006B7E78">
        <w:t xml:space="preserve">Figure </w:t>
      </w:r>
      <w:r w:rsidR="006B7E78">
        <w:rPr>
          <w:noProof/>
        </w:rPr>
        <w:t>1</w:t>
      </w:r>
      <w:r>
        <w:fldChar w:fldCharType="end"/>
      </w:r>
      <w:r>
        <w:t>, i</w:t>
      </w:r>
      <w:r w:rsidR="008E7A3F">
        <w:t>f PDCCH</w:t>
      </w:r>
      <w:r w:rsidR="008E7A3F" w:rsidRPr="00FA79BC">
        <w:rPr>
          <w:vertAlign w:val="subscript"/>
        </w:rPr>
        <w:t>1</w:t>
      </w:r>
      <w:r w:rsidR="008E7A3F">
        <w:t xml:space="preserve"> schedules SRS</w:t>
      </w:r>
      <w:r w:rsidR="008E7A3F" w:rsidRPr="00FA79BC">
        <w:rPr>
          <w:vertAlign w:val="subscript"/>
        </w:rPr>
        <w:t>1</w:t>
      </w:r>
      <w:r w:rsidR="008E7A3F">
        <w:t>, the scheduling is ‘in order’</w:t>
      </w:r>
      <w:r>
        <w:t xml:space="preserve">.  However, </w:t>
      </w:r>
      <w:r w:rsidR="008E7A3F">
        <w:t>if it instead schedules SRS</w:t>
      </w:r>
      <w:r w:rsidR="008E7A3F" w:rsidRPr="00FA79BC">
        <w:rPr>
          <w:vertAlign w:val="subscript"/>
        </w:rPr>
        <w:t>2</w:t>
      </w:r>
      <w:r w:rsidR="008E7A3F">
        <w:t>, it is ‘out of order’, since in that case it is scheduling after PDCCH</w:t>
      </w:r>
      <w:r w:rsidR="008E7A3F" w:rsidRPr="00FA79BC">
        <w:rPr>
          <w:vertAlign w:val="subscript"/>
        </w:rPr>
        <w:t>2</w:t>
      </w:r>
      <w:r w:rsidR="008E7A3F">
        <w:t xml:space="preserve"> which follows </w:t>
      </w:r>
      <w:proofErr w:type="gramStart"/>
      <w:r w:rsidR="008E7A3F">
        <w:t>PDCCH</w:t>
      </w:r>
      <w:r w:rsidR="008E7A3F" w:rsidRPr="00FA79BC">
        <w:rPr>
          <w:vertAlign w:val="subscript"/>
        </w:rPr>
        <w:t>1</w:t>
      </w:r>
      <w:r w:rsidR="008E7A3F">
        <w:t>, but</w:t>
      </w:r>
      <w:proofErr w:type="gramEnd"/>
      <w:r w:rsidR="008E7A3F">
        <w:t xml:space="preserve"> schedules an earlier SRS.  Whether UEs can support out of order </w:t>
      </w:r>
      <w:r>
        <w:t xml:space="preserve">SRS carrier switching </w:t>
      </w:r>
      <w:r w:rsidR="008E7A3F">
        <w:t xml:space="preserve">was raised in </w:t>
      </w:r>
      <w:r w:rsidR="00CD3747">
        <w:fldChar w:fldCharType="begin"/>
      </w:r>
      <w:r w:rsidR="00CD3747">
        <w:instrText xml:space="preserve"> REF _Ref158886171 \n \h </w:instrText>
      </w:r>
      <w:r w:rsidR="00CD3747">
        <w:fldChar w:fldCharType="separate"/>
      </w:r>
      <w:r w:rsidR="006B7E78">
        <w:t>[3]</w:t>
      </w:r>
      <w:r w:rsidR="00CD3747">
        <w:fldChar w:fldCharType="end"/>
      </w:r>
      <w:r w:rsidR="00CD3747">
        <w:t xml:space="preserve"> </w:t>
      </w:r>
      <w:r w:rsidR="008E7A3F">
        <w:t xml:space="preserve">and if new UE capability and/or spec changes </w:t>
      </w:r>
      <w:r>
        <w:t xml:space="preserve">are needed </w:t>
      </w:r>
      <w:r w:rsidR="008E7A3F">
        <w:t xml:space="preserve">that address the order of the aperiodic triggers was discussed during RAN1#115 </w:t>
      </w:r>
      <w:r w:rsidR="008E7A3F">
        <w:fldChar w:fldCharType="begin"/>
      </w:r>
      <w:r w:rsidR="008E7A3F">
        <w:instrText xml:space="preserve"> REF _Ref146564676 \r \h </w:instrText>
      </w:r>
      <w:r w:rsidR="008E7A3F">
        <w:fldChar w:fldCharType="separate"/>
      </w:r>
      <w:r w:rsidR="006B7E78">
        <w:t>[2]</w:t>
      </w:r>
      <w:r w:rsidR="008E7A3F">
        <w:fldChar w:fldCharType="end"/>
      </w:r>
      <w:r w:rsidR="008E7A3F">
        <w:t xml:space="preserve">, although there was not sufficient time to resolve the issue. </w:t>
      </w:r>
      <w:r w:rsidR="007451E8">
        <w:t>In our understanding, there is no current constraint that aperiodic SRS transmissions be in order, and either of the two cases</w:t>
      </w:r>
      <w:r>
        <w:t xml:space="preserve"> in</w:t>
      </w:r>
      <w:r w:rsidR="007451E8">
        <w:t xml:space="preserve"> </w:t>
      </w:r>
      <w:r>
        <w:fldChar w:fldCharType="begin"/>
      </w:r>
      <w:r>
        <w:instrText xml:space="preserve"> REF _Ref158394021 \h </w:instrText>
      </w:r>
      <w:r>
        <w:fldChar w:fldCharType="separate"/>
      </w:r>
      <w:r w:rsidR="006B7E78">
        <w:t xml:space="preserve">Figure </w:t>
      </w:r>
      <w:r w:rsidR="006B7E78">
        <w:rPr>
          <w:noProof/>
        </w:rPr>
        <w:t>1</w:t>
      </w:r>
      <w:r>
        <w:fldChar w:fldCharType="end"/>
      </w:r>
      <w:r>
        <w:t xml:space="preserve"> </w:t>
      </w:r>
      <w:r w:rsidR="007451E8">
        <w:t xml:space="preserve">are possible.  Furthermore, in aperiodic SRS transmission without </w:t>
      </w:r>
      <w:r>
        <w:t xml:space="preserve">carrier switching </w:t>
      </w:r>
      <w:r w:rsidR="007451E8">
        <w:t xml:space="preserve">there is no constraint that the SRS be ‘in order’, including cases with cross carrier scheduling and where downlink and uplink grants are used for SRS transmission on one carrier.  </w:t>
      </w:r>
      <w:proofErr w:type="gramStart"/>
      <w:r w:rsidR="007451E8">
        <w:t>That being said, if</w:t>
      </w:r>
      <w:proofErr w:type="gramEnd"/>
      <w:r w:rsidR="007451E8">
        <w:t xml:space="preserve"> UE implementations find it difficult to transmit aperiodic carrier switching SRS out of order, we are </w:t>
      </w:r>
      <w:r>
        <w:t>open to discuss potential solutions.</w:t>
      </w:r>
    </w:p>
    <w:p w14:paraId="2363585E" w14:textId="544469A0" w:rsidR="00DC73BD" w:rsidRPr="004D56B7" w:rsidRDefault="00DC73BD" w:rsidP="00DC73BD">
      <w:pPr>
        <w:spacing w:after="0"/>
        <w:rPr>
          <w:b/>
          <w:bCs/>
          <w:szCs w:val="20"/>
          <w:u w:val="single"/>
        </w:rPr>
      </w:pPr>
      <w:r w:rsidRPr="004D56B7">
        <w:rPr>
          <w:b/>
          <w:bCs/>
          <w:szCs w:val="20"/>
          <w:u w:val="single"/>
        </w:rPr>
        <w:t>Observation 2.</w:t>
      </w:r>
      <w:r>
        <w:rPr>
          <w:b/>
          <w:bCs/>
          <w:szCs w:val="20"/>
          <w:u w:val="single"/>
        </w:rPr>
        <w:t>2</w:t>
      </w:r>
      <w:r w:rsidRPr="004D56B7">
        <w:rPr>
          <w:b/>
          <w:bCs/>
          <w:szCs w:val="20"/>
          <w:u w:val="single"/>
        </w:rPr>
        <w:t>:</w:t>
      </w:r>
    </w:p>
    <w:p w14:paraId="70790703" w14:textId="42E1F23A" w:rsidR="002566EC" w:rsidRPr="00E83D6F" w:rsidRDefault="00E83D6F" w:rsidP="00DC73BD">
      <w:pPr>
        <w:pStyle w:val="ListParagraph"/>
        <w:numPr>
          <w:ilvl w:val="0"/>
          <w:numId w:val="36"/>
        </w:numPr>
        <w:rPr>
          <w:rFonts w:ascii="Arial" w:hAnsi="Arial" w:cs="Arial"/>
          <w:sz w:val="20"/>
          <w:szCs w:val="20"/>
        </w:rPr>
      </w:pPr>
      <w:r>
        <w:rPr>
          <w:rFonts w:ascii="Arial" w:hAnsi="Arial" w:cs="Arial"/>
          <w:sz w:val="20"/>
          <w:szCs w:val="20"/>
          <w:lang w:val="en-US"/>
        </w:rPr>
        <w:t>M</w:t>
      </w:r>
      <w:r w:rsidR="002566EC">
        <w:rPr>
          <w:rFonts w:ascii="Arial" w:hAnsi="Arial" w:cs="Arial"/>
          <w:sz w:val="20"/>
          <w:szCs w:val="20"/>
          <w:lang w:val="en-US"/>
        </w:rPr>
        <w:t xml:space="preserve">ulti-DCI triggered SRS </w:t>
      </w:r>
      <w:r w:rsidR="000A60FF">
        <w:rPr>
          <w:rFonts w:ascii="Arial" w:hAnsi="Arial" w:cs="Arial"/>
          <w:sz w:val="20"/>
          <w:szCs w:val="20"/>
          <w:lang w:val="en-US"/>
        </w:rPr>
        <w:t xml:space="preserve">timing and </w:t>
      </w:r>
      <w:r w:rsidR="002566EC">
        <w:rPr>
          <w:rFonts w:ascii="Arial" w:hAnsi="Arial" w:cs="Arial"/>
          <w:sz w:val="20"/>
          <w:szCs w:val="20"/>
          <w:lang w:val="en-US"/>
        </w:rPr>
        <w:t xml:space="preserve">collision </w:t>
      </w:r>
      <w:r>
        <w:rPr>
          <w:rFonts w:ascii="Arial" w:hAnsi="Arial" w:cs="Arial"/>
          <w:sz w:val="20"/>
          <w:szCs w:val="20"/>
          <w:lang w:val="en-US"/>
        </w:rPr>
        <w:t>dropping rules seem to be defined in the current specifications, and so do not fall into the category of error cases in our understanding.</w:t>
      </w:r>
    </w:p>
    <w:p w14:paraId="1117CD10" w14:textId="016BDA65" w:rsidR="00E83D6F" w:rsidRPr="00E83D6F" w:rsidRDefault="00E83D6F" w:rsidP="00DC73BD">
      <w:pPr>
        <w:pStyle w:val="ListParagraph"/>
        <w:numPr>
          <w:ilvl w:val="0"/>
          <w:numId w:val="36"/>
        </w:numPr>
        <w:rPr>
          <w:rFonts w:ascii="Arial" w:hAnsi="Arial" w:cs="Arial"/>
          <w:sz w:val="20"/>
          <w:szCs w:val="20"/>
        </w:rPr>
      </w:pPr>
      <w:r>
        <w:rPr>
          <w:rFonts w:ascii="Arial" w:hAnsi="Arial" w:cs="Arial"/>
          <w:sz w:val="20"/>
          <w:szCs w:val="20"/>
          <w:lang w:val="en-US"/>
        </w:rPr>
        <w:t>Aperiodic SRS carrier switching does not seem to be constrained to be ‘in order’ in the current specifications, as is the case for aperiodic SRS transmission without switching</w:t>
      </w:r>
      <w:r w:rsidR="007619CF">
        <w:rPr>
          <w:rFonts w:ascii="Arial" w:hAnsi="Arial" w:cs="Arial"/>
          <w:sz w:val="20"/>
          <w:szCs w:val="20"/>
          <w:lang w:val="en-US"/>
        </w:rPr>
        <w:t xml:space="preserve"> where ‘in order’ is also not constrained</w:t>
      </w:r>
      <w:r>
        <w:rPr>
          <w:rFonts w:ascii="Arial" w:hAnsi="Arial" w:cs="Arial"/>
          <w:sz w:val="20"/>
          <w:szCs w:val="20"/>
          <w:lang w:val="en-US"/>
        </w:rPr>
        <w:t>.</w:t>
      </w:r>
    </w:p>
    <w:p w14:paraId="1980072A" w14:textId="384BC51B" w:rsidR="004B573D" w:rsidRPr="00175BC9" w:rsidRDefault="00E83D6F" w:rsidP="00DC73BD">
      <w:pPr>
        <w:pStyle w:val="ListParagraph"/>
        <w:numPr>
          <w:ilvl w:val="1"/>
          <w:numId w:val="36"/>
        </w:numPr>
        <w:rPr>
          <w:rFonts w:ascii="Arial" w:hAnsi="Arial" w:cs="Arial"/>
          <w:sz w:val="20"/>
          <w:szCs w:val="20"/>
        </w:rPr>
      </w:pPr>
      <w:r>
        <w:rPr>
          <w:rFonts w:ascii="Arial" w:hAnsi="Arial" w:cs="Arial"/>
          <w:sz w:val="20"/>
          <w:szCs w:val="20"/>
          <w:lang w:val="en-US"/>
        </w:rPr>
        <w:t>However, if UE implementations require in order transmission, solutions to this can be further discussed.</w:t>
      </w:r>
    </w:p>
    <w:p w14:paraId="072EF543" w14:textId="77777777" w:rsidR="00937A23" w:rsidRDefault="00937A23" w:rsidP="00937A23">
      <w:pPr>
        <w:spacing w:after="0"/>
        <w:rPr>
          <w:b/>
          <w:bCs/>
          <w:u w:val="single"/>
        </w:rPr>
      </w:pPr>
    </w:p>
    <w:p w14:paraId="367035B6" w14:textId="59FAD7A0" w:rsidR="004B573D" w:rsidRPr="00937A23" w:rsidRDefault="004B573D" w:rsidP="00937A23">
      <w:pPr>
        <w:spacing w:after="0"/>
        <w:rPr>
          <w:b/>
          <w:bCs/>
          <w:u w:val="single"/>
        </w:rPr>
      </w:pPr>
      <w:r w:rsidRPr="00937A23">
        <w:rPr>
          <w:b/>
          <w:bCs/>
          <w:u w:val="single"/>
        </w:rPr>
        <w:t>Proposal</w:t>
      </w:r>
      <w:r w:rsidR="00937A23">
        <w:rPr>
          <w:b/>
          <w:bCs/>
          <w:u w:val="single"/>
        </w:rPr>
        <w:t xml:space="preserve"> 2.2</w:t>
      </w:r>
      <w:r w:rsidRPr="00937A23">
        <w:rPr>
          <w:b/>
          <w:bCs/>
          <w:u w:val="single"/>
        </w:rPr>
        <w:t>:</w:t>
      </w:r>
    </w:p>
    <w:p w14:paraId="35DF0E46" w14:textId="264F2433" w:rsidR="00DC73BD" w:rsidRPr="006B7E78" w:rsidRDefault="002566EC" w:rsidP="00894EE7">
      <w:pPr>
        <w:pStyle w:val="ListParagraph"/>
        <w:numPr>
          <w:ilvl w:val="0"/>
          <w:numId w:val="36"/>
        </w:numPr>
        <w:rPr>
          <w:rFonts w:ascii="Arial" w:hAnsi="Arial" w:cs="Arial"/>
          <w:sz w:val="20"/>
          <w:szCs w:val="20"/>
        </w:rPr>
      </w:pPr>
      <w:r w:rsidRPr="006B7E78">
        <w:rPr>
          <w:rFonts w:ascii="Arial" w:hAnsi="Arial" w:cs="Arial"/>
          <w:sz w:val="20"/>
          <w:szCs w:val="20"/>
        </w:rPr>
        <w:t>Decide in RAN1</w:t>
      </w:r>
      <w:r w:rsidR="00175BC9" w:rsidRPr="006B7E78">
        <w:rPr>
          <w:rFonts w:ascii="Arial" w:hAnsi="Arial" w:cs="Arial"/>
          <w:sz w:val="20"/>
          <w:szCs w:val="20"/>
        </w:rPr>
        <w:t xml:space="preserve">#116 if </w:t>
      </w:r>
      <w:r w:rsidR="00175BC9" w:rsidRPr="005C55A8">
        <w:rPr>
          <w:rFonts w:ascii="Arial" w:hAnsi="Arial" w:cs="Arial"/>
          <w:sz w:val="20"/>
          <w:szCs w:val="20"/>
          <w:lang w:val="en-US"/>
        </w:rPr>
        <w:t>solutions</w:t>
      </w:r>
      <w:r w:rsidR="00175BC9" w:rsidRPr="006B7E78">
        <w:rPr>
          <w:rFonts w:ascii="Arial" w:hAnsi="Arial" w:cs="Arial"/>
          <w:sz w:val="20"/>
          <w:szCs w:val="20"/>
        </w:rPr>
        <w:t xml:space="preserve"> to ‘out of order’ aperiodic SRS carrier switching triggers are needed.</w:t>
      </w:r>
    </w:p>
    <w:p w14:paraId="0A2CB020" w14:textId="77777777" w:rsidR="004B573D" w:rsidRPr="00DC73BD" w:rsidRDefault="004B573D" w:rsidP="00DC73BD">
      <w:pPr>
        <w:rPr>
          <w:rFonts w:cs="Arial"/>
          <w:szCs w:val="20"/>
        </w:rPr>
      </w:pPr>
    </w:p>
    <w:p w14:paraId="586F46B1" w14:textId="316B3A1B" w:rsidR="0065742C" w:rsidRDefault="00156561" w:rsidP="00156561">
      <w:pPr>
        <w:pStyle w:val="Heading2"/>
      </w:pPr>
      <w:r>
        <w:lastRenderedPageBreak/>
        <w:t>2.</w:t>
      </w:r>
      <w:r w:rsidR="00CE0920">
        <w:t>3</w:t>
      </w:r>
      <w:r>
        <w:t xml:space="preserve"> </w:t>
      </w:r>
      <w:r w:rsidR="0065742C">
        <w:t xml:space="preserve">Support for available slots in SRS carrier </w:t>
      </w:r>
      <w:proofErr w:type="gramStart"/>
      <w:r w:rsidR="0065742C">
        <w:t>switching</w:t>
      </w:r>
      <w:proofErr w:type="gramEnd"/>
    </w:p>
    <w:p w14:paraId="1036E71D" w14:textId="78DF962F" w:rsidR="0065742C" w:rsidRDefault="0065742C" w:rsidP="0065742C">
      <w:pPr>
        <w:pStyle w:val="ListBullet"/>
        <w:numPr>
          <w:ilvl w:val="0"/>
          <w:numId w:val="0"/>
        </w:numPr>
        <w:rPr>
          <w:lang w:val="en-GB"/>
        </w:rPr>
      </w:pPr>
      <w:r>
        <w:rPr>
          <w:lang w:val="en-GB"/>
        </w:rPr>
        <w:t>During RAN1#114bis, it was also noticed that Rel-17 SRS supports available slot triggering, and whether this can apply to DCI 1_1/1_2 based SRS carrier switching should be further discussed.  Therefore, the Moderator suggested to further investigate the issue in RAN1#115 with the following:</w:t>
      </w:r>
    </w:p>
    <w:p w14:paraId="4F7A186D" w14:textId="4E5BEB69" w:rsidR="0065742C" w:rsidRDefault="0065742C" w:rsidP="0065742C">
      <w:pPr>
        <w:pStyle w:val="ListBullet"/>
        <w:numPr>
          <w:ilvl w:val="0"/>
          <w:numId w:val="0"/>
        </w:numPr>
        <w:rPr>
          <w:lang w:val="en-GB"/>
        </w:rPr>
      </w:pPr>
    </w:p>
    <w:tbl>
      <w:tblPr>
        <w:tblStyle w:val="TableGrid"/>
        <w:tblW w:w="0" w:type="auto"/>
        <w:tblLook w:val="04A0" w:firstRow="1" w:lastRow="0" w:firstColumn="1" w:lastColumn="0" w:noHBand="0" w:noVBand="1"/>
      </w:tblPr>
      <w:tblGrid>
        <w:gridCol w:w="9629"/>
      </w:tblGrid>
      <w:tr w:rsidR="0065742C" w14:paraId="5570BB91" w14:textId="77777777" w:rsidTr="0065742C">
        <w:tc>
          <w:tcPr>
            <w:tcW w:w="9629" w:type="dxa"/>
          </w:tcPr>
          <w:p w14:paraId="24259A80" w14:textId="14D626B8" w:rsidR="0065742C" w:rsidRPr="0065742C" w:rsidRDefault="0065742C" w:rsidP="0065742C">
            <w:pPr>
              <w:pStyle w:val="ListBullet"/>
              <w:numPr>
                <w:ilvl w:val="0"/>
                <w:numId w:val="0"/>
              </w:numPr>
              <w:rPr>
                <w:b/>
                <w:bCs/>
                <w:sz w:val="20"/>
                <w:szCs w:val="20"/>
                <w:u w:val="single"/>
                <w:lang w:val="en-GB"/>
              </w:rPr>
            </w:pPr>
            <w:r w:rsidRPr="0065742C">
              <w:rPr>
                <w:b/>
                <w:bCs/>
                <w:sz w:val="20"/>
                <w:szCs w:val="20"/>
                <w:u w:val="single"/>
                <w:lang w:val="en-GB"/>
              </w:rPr>
              <w:t>Proposal#4</w:t>
            </w:r>
            <w:r w:rsidR="009706B4">
              <w:rPr>
                <w:b/>
                <w:bCs/>
                <w:sz w:val="20"/>
                <w:szCs w:val="20"/>
                <w:u w:val="single"/>
                <w:lang w:val="en-GB"/>
              </w:rPr>
              <w:t xml:space="preserve"> (RAN1#114bis)</w:t>
            </w:r>
          </w:p>
          <w:p w14:paraId="06285C7C" w14:textId="4F034ED4" w:rsidR="0065742C" w:rsidRPr="0065742C" w:rsidRDefault="0065742C" w:rsidP="0065742C">
            <w:pPr>
              <w:pStyle w:val="ListBullet"/>
              <w:numPr>
                <w:ilvl w:val="0"/>
                <w:numId w:val="0"/>
              </w:numPr>
              <w:rPr>
                <w:sz w:val="20"/>
                <w:szCs w:val="20"/>
                <w:lang w:val="en-GB"/>
              </w:rPr>
            </w:pPr>
            <w:r w:rsidRPr="0065742C">
              <w:rPr>
                <w:sz w:val="20"/>
                <w:szCs w:val="20"/>
                <w:lang w:val="en-GB"/>
              </w:rPr>
              <w:t>Further discuss in RAN1#115 if available slot operation can be applied to aperiodic SRS carrier switching triggered by DCI 1_1/1_2.</w:t>
            </w:r>
          </w:p>
        </w:tc>
      </w:tr>
    </w:tbl>
    <w:p w14:paraId="3762FB94" w14:textId="6B5A2DD6" w:rsidR="0065742C" w:rsidRDefault="0065742C" w:rsidP="0065742C">
      <w:pPr>
        <w:pStyle w:val="ListBullet"/>
        <w:numPr>
          <w:ilvl w:val="0"/>
          <w:numId w:val="0"/>
        </w:numPr>
        <w:rPr>
          <w:lang w:val="en-GB"/>
        </w:rPr>
      </w:pPr>
    </w:p>
    <w:p w14:paraId="1B3629CF" w14:textId="29D4D370" w:rsidR="00C04F3E" w:rsidRDefault="00C04F3E" w:rsidP="0065742C">
      <w:pPr>
        <w:pStyle w:val="ListBullet"/>
        <w:numPr>
          <w:ilvl w:val="0"/>
          <w:numId w:val="0"/>
        </w:numPr>
        <w:rPr>
          <w:lang w:val="en-GB"/>
        </w:rPr>
      </w:pPr>
      <w:r>
        <w:rPr>
          <w:lang w:val="en-GB"/>
        </w:rPr>
        <w:t xml:space="preserve">Available slot operation allows more flexible triggering of aperiodic SRS since an offset can be dynamically indicated in DCI, whereas Rel-15 operation uses a configured value of the time offset from the triggering PDCCH.  As can be observed below in the </w:t>
      </w:r>
      <w:r w:rsidR="00AF5834" w:rsidRPr="00AF5834">
        <w:rPr>
          <w:highlight w:val="yellow"/>
          <w:lang w:val="en-GB"/>
        </w:rPr>
        <w:t>yellow highlighted</w:t>
      </w:r>
      <w:r w:rsidR="00AF5834">
        <w:rPr>
          <w:lang w:val="en-GB"/>
        </w:rPr>
        <w:t xml:space="preserve"> text in </w:t>
      </w:r>
      <w:r>
        <w:rPr>
          <w:lang w:val="en-GB"/>
        </w:rPr>
        <w:t>38.214 section 6.2.1 it is only supported for DCI scheduling PUSCH/PDSCH and DCI 0_1/0_2 SRS-only transmission, and so is not supported for SRS carrier switching with DCI format 2_3.</w:t>
      </w:r>
      <w:r w:rsidR="00AF5834">
        <w:rPr>
          <w:lang w:val="en-GB"/>
        </w:rPr>
        <w:t xml:space="preserve">  However, it is also possible to configure one available slot offset or to use a default offset of 0 slots, as can be seen in the </w:t>
      </w:r>
      <w:r w:rsidR="00AF5834" w:rsidRPr="00AF5834">
        <w:rPr>
          <w:highlight w:val="cyan"/>
          <w:lang w:val="en-GB"/>
        </w:rPr>
        <w:t>blue highlighted</w:t>
      </w:r>
      <w:r w:rsidR="00AF5834">
        <w:rPr>
          <w:lang w:val="en-GB"/>
        </w:rPr>
        <w:t xml:space="preserve"> text.</w:t>
      </w:r>
    </w:p>
    <w:tbl>
      <w:tblPr>
        <w:tblStyle w:val="TableGrid"/>
        <w:tblW w:w="0" w:type="auto"/>
        <w:tblLook w:val="04A0" w:firstRow="1" w:lastRow="0" w:firstColumn="1" w:lastColumn="0" w:noHBand="0" w:noVBand="1"/>
      </w:tblPr>
      <w:tblGrid>
        <w:gridCol w:w="9629"/>
      </w:tblGrid>
      <w:tr w:rsidR="00C04F3E" w14:paraId="0CA513CC" w14:textId="77777777" w:rsidTr="00C04F3E">
        <w:tc>
          <w:tcPr>
            <w:tcW w:w="9629" w:type="dxa"/>
          </w:tcPr>
          <w:p w14:paraId="5069F9E8" w14:textId="52FA4D37" w:rsidR="00C04F3E" w:rsidRPr="00C04F3E" w:rsidRDefault="000B1272" w:rsidP="000B1272">
            <w:pPr>
              <w:spacing w:after="180" w:line="240" w:lineRule="auto"/>
              <w:ind w:left="851" w:hanging="284"/>
              <w:rPr>
                <w:color w:val="000000" w:themeColor="text1"/>
              </w:rPr>
            </w:pPr>
            <w:r w:rsidRPr="000B1272">
              <w:rPr>
                <w:rFonts w:ascii="Times New Roman" w:eastAsia="SimSun" w:hAnsi="Times New Roman" w:cs="Times New Roman"/>
                <w:i/>
                <w:szCs w:val="20"/>
                <w:lang w:val="x-none"/>
              </w:rPr>
              <w:t>-</w:t>
            </w:r>
            <w:r w:rsidRPr="000B1272">
              <w:rPr>
                <w:rFonts w:ascii="Times New Roman" w:eastAsia="SimSun" w:hAnsi="Times New Roman" w:cs="Times New Roman"/>
                <w:i/>
                <w:szCs w:val="20"/>
                <w:lang w:val="x-none"/>
              </w:rPr>
              <w:tab/>
              <w:t xml:space="preserve">t </w:t>
            </w:r>
            <w:r w:rsidRPr="000B1272">
              <w:rPr>
                <w:rFonts w:ascii="Times New Roman" w:eastAsia="SimSun" w:hAnsi="Times New Roman" w:cs="Times New Roman"/>
                <w:iCs/>
                <w:szCs w:val="20"/>
                <w:lang w:val="x-none"/>
              </w:rPr>
              <w:t>is configured vi</w:t>
            </w:r>
            <w:r w:rsidRPr="000B1272">
              <w:rPr>
                <w:rFonts w:ascii="Times New Roman" w:eastAsia="SimSun" w:hAnsi="Times New Roman" w:cs="Times New Roman"/>
                <w:iCs/>
                <w:color w:val="000000"/>
                <w:szCs w:val="20"/>
                <w:lang w:val="x-none"/>
              </w:rPr>
              <w:t>a higher layer parameter</w:t>
            </w:r>
            <w:r w:rsidRPr="000B1272">
              <w:rPr>
                <w:rFonts w:ascii="Times New Roman" w:eastAsia="SimSun" w:hAnsi="Times New Roman" w:cs="Times New Roman"/>
                <w:i/>
                <w:color w:val="000000"/>
                <w:szCs w:val="20"/>
                <w:lang w:val="x-none"/>
              </w:rPr>
              <w:t xml:space="preserve"> </w:t>
            </w:r>
            <w:proofErr w:type="spellStart"/>
            <w:r w:rsidRPr="000B1272">
              <w:rPr>
                <w:rFonts w:ascii="Times New Roman" w:eastAsia="SimSun" w:hAnsi="Times New Roman" w:cs="Times New Roman"/>
                <w:i/>
                <w:color w:val="000000"/>
                <w:szCs w:val="20"/>
              </w:rPr>
              <w:t>availableSlotOffset</w:t>
            </w:r>
            <w:proofErr w:type="spellEnd"/>
            <w:r w:rsidRPr="000B1272">
              <w:rPr>
                <w:rFonts w:ascii="Times New Roman" w:eastAsia="SimSun" w:hAnsi="Times New Roman" w:cs="Times New Roman"/>
                <w:i/>
                <w:color w:val="000000"/>
                <w:szCs w:val="20"/>
                <w:lang w:val="x-none"/>
              </w:rPr>
              <w:t>List</w:t>
            </w:r>
            <w:r w:rsidRPr="000B1272">
              <w:rPr>
                <w:rFonts w:ascii="Times New Roman" w:eastAsia="SimSun" w:hAnsi="Times New Roman" w:cs="Times New Roman"/>
                <w:i/>
                <w:color w:val="000000"/>
                <w:szCs w:val="20"/>
              </w:rPr>
              <w:t xml:space="preserve"> </w:t>
            </w:r>
            <w:r w:rsidRPr="000B1272">
              <w:rPr>
                <w:rFonts w:ascii="Times New Roman" w:eastAsia="SimSun" w:hAnsi="Times New Roman" w:cs="Times New Roman"/>
                <w:iCs/>
                <w:color w:val="000000"/>
                <w:szCs w:val="20"/>
              </w:rPr>
              <w:t xml:space="preserve">with </w:t>
            </w:r>
            <w:r w:rsidRPr="000B1272">
              <w:rPr>
                <w:rFonts w:ascii="Times New Roman" w:eastAsia="SimSun" w:hAnsi="Times New Roman" w:cs="Times New Roman"/>
                <w:iCs/>
                <w:color w:val="000000"/>
                <w:szCs w:val="20"/>
                <w:lang w:val="x-none"/>
              </w:rPr>
              <w:t xml:space="preserve">up to </w:t>
            </w:r>
            <w:r w:rsidRPr="000B1272">
              <w:rPr>
                <w:rFonts w:ascii="Times New Roman" w:eastAsia="SimSun" w:hAnsi="Times New Roman" w:cs="Times New Roman"/>
                <w:iCs/>
                <w:color w:val="000000"/>
                <w:szCs w:val="20"/>
              </w:rPr>
              <w:t>four different values</w:t>
            </w:r>
            <w:r w:rsidRPr="000B1272">
              <w:rPr>
                <w:rFonts w:ascii="Times New Roman" w:eastAsia="SimSun" w:hAnsi="Times New Roman" w:cs="Times New Roman"/>
                <w:i/>
                <w:color w:val="000000"/>
                <w:szCs w:val="20"/>
                <w:lang w:val="x-none"/>
              </w:rPr>
              <w:t xml:space="preserve"> </w:t>
            </w:r>
            <w:r w:rsidRPr="000B1272">
              <w:rPr>
                <w:rFonts w:ascii="Times New Roman" w:eastAsia="SimSun" w:hAnsi="Times New Roman" w:cs="Times New Roman"/>
                <w:iCs/>
                <w:color w:val="000000"/>
                <w:szCs w:val="20"/>
                <w:lang w:val="x-none"/>
              </w:rPr>
              <w:t xml:space="preserve">of </w:t>
            </w:r>
            <w:proofErr w:type="spellStart"/>
            <w:r w:rsidRPr="000B1272">
              <w:rPr>
                <w:rFonts w:ascii="Times New Roman" w:eastAsia="SimSun" w:hAnsi="Times New Roman" w:cs="Times New Roman"/>
                <w:i/>
                <w:color w:val="000000"/>
                <w:szCs w:val="20"/>
                <w:lang w:val="x-none"/>
              </w:rPr>
              <w:t>AvailableSlotOffset</w:t>
            </w:r>
            <w:proofErr w:type="spellEnd"/>
            <w:r w:rsidRPr="000B1272">
              <w:rPr>
                <w:rFonts w:ascii="Times New Roman" w:eastAsia="SimSun" w:hAnsi="Times New Roman" w:cs="Times New Roman"/>
                <w:iCs/>
                <w:color w:val="000000"/>
                <w:szCs w:val="20"/>
                <w:lang w:val="x-none"/>
              </w:rPr>
              <w:t xml:space="preserve"> </w:t>
            </w:r>
            <w:r w:rsidRPr="000B1272">
              <w:rPr>
                <w:rFonts w:ascii="Times New Roman" w:eastAsia="SimSun" w:hAnsi="Times New Roman" w:cs="Times New Roman"/>
                <w:color w:val="000000"/>
                <w:szCs w:val="20"/>
                <w:lang w:val="x-none"/>
              </w:rPr>
              <w:t xml:space="preserve">for each </w:t>
            </w:r>
            <w:r w:rsidRPr="000B1272">
              <w:rPr>
                <w:rFonts w:ascii="Times New Roman" w:eastAsia="SimSun" w:hAnsi="Times New Roman" w:cs="Times New Roman" w:hint="eastAsia"/>
                <w:color w:val="000000"/>
                <w:szCs w:val="20"/>
                <w:lang w:val="x-none" w:eastAsia="zh-CN"/>
              </w:rPr>
              <w:t xml:space="preserve">triggered </w:t>
            </w:r>
            <w:r w:rsidRPr="000B1272">
              <w:rPr>
                <w:rFonts w:ascii="Times New Roman" w:eastAsia="SimSun" w:hAnsi="Times New Roman" w:cs="Times New Roman"/>
                <w:color w:val="000000"/>
                <w:szCs w:val="20"/>
                <w:lang w:val="x-none"/>
              </w:rPr>
              <w:t xml:space="preserve">SRS resources set and </w:t>
            </w:r>
            <w:r w:rsidRPr="000B1272">
              <w:rPr>
                <w:rFonts w:ascii="Times New Roman" w:eastAsia="SimSun" w:hAnsi="Times New Roman" w:cs="Times New Roman"/>
                <w:color w:val="000000"/>
                <w:szCs w:val="20"/>
                <w:lang w:val="en-GB"/>
              </w:rPr>
              <w:t xml:space="preserve">it </w:t>
            </w:r>
            <w:r w:rsidRPr="000B1272">
              <w:rPr>
                <w:rFonts w:ascii="Times New Roman" w:eastAsia="SimSun" w:hAnsi="Times New Roman" w:cs="Times New Roman" w:hint="eastAsia"/>
                <w:color w:val="000000"/>
                <w:szCs w:val="20"/>
                <w:lang w:val="x-none" w:eastAsia="zh-CN"/>
              </w:rPr>
              <w:t xml:space="preserve">is </w:t>
            </w:r>
            <w:r w:rsidRPr="000B1272">
              <w:rPr>
                <w:rFonts w:ascii="Times New Roman" w:eastAsia="SimSun" w:hAnsi="Times New Roman" w:cs="Times New Roman"/>
                <w:color w:val="000000"/>
                <w:szCs w:val="20"/>
                <w:lang w:val="x-none"/>
              </w:rPr>
              <w:t xml:space="preserve">based on </w:t>
            </w:r>
            <w:r w:rsidRPr="000B1272">
              <w:rPr>
                <w:rFonts w:ascii="Times New Roman" w:eastAsia="SimSun" w:hAnsi="Times New Roman" w:cs="Times New Roman"/>
                <w:color w:val="000000"/>
                <w:szCs w:val="20"/>
                <w:lang w:val="en-AU"/>
              </w:rPr>
              <w:t xml:space="preserve">the subcarrier spacing of the triggered SRS transmission. </w:t>
            </w:r>
            <w:r w:rsidRPr="000B1272">
              <w:rPr>
                <w:rFonts w:ascii="Times New Roman" w:eastAsia="SimSun" w:hAnsi="Times New Roman" w:cs="Times New Roman" w:hint="eastAsia"/>
                <w:color w:val="000000"/>
                <w:szCs w:val="20"/>
                <w:highlight w:val="yellow"/>
                <w:lang w:val="en-AU" w:eastAsia="zh-CN"/>
              </w:rPr>
              <w:t xml:space="preserve">When </w:t>
            </w:r>
            <w:r w:rsidRPr="000B1272">
              <w:rPr>
                <w:rFonts w:ascii="Times New Roman" w:eastAsia="SimSun" w:hAnsi="Times New Roman" w:cs="Times New Roman" w:hint="eastAsia"/>
                <w:color w:val="000000"/>
                <w:szCs w:val="20"/>
                <w:highlight w:val="yellow"/>
                <w:lang w:eastAsia="zh-CN"/>
              </w:rPr>
              <w:t xml:space="preserve">one or more SRS resource sets </w:t>
            </w:r>
            <w:r w:rsidRPr="000B1272">
              <w:rPr>
                <w:rFonts w:ascii="Times New Roman" w:eastAsia="SimSun" w:hAnsi="Times New Roman" w:cs="Times New Roman"/>
                <w:color w:val="000000"/>
                <w:szCs w:val="20"/>
                <w:highlight w:val="yellow"/>
                <w:lang w:val="x-none" w:eastAsia="zh-CN"/>
              </w:rPr>
              <w:t>across all configured BWPs in a component carrier</w:t>
            </w:r>
            <w:r w:rsidRPr="000B1272">
              <w:rPr>
                <w:rFonts w:ascii="Times New Roman" w:eastAsia="SimSun" w:hAnsi="Times New Roman" w:cs="Times New Roman" w:hint="eastAsia"/>
                <w:color w:val="000000"/>
                <w:szCs w:val="20"/>
                <w:highlight w:val="yellow"/>
                <w:lang w:eastAsia="zh-CN"/>
              </w:rPr>
              <w:t xml:space="preserve"> are configured</w:t>
            </w:r>
            <w:r w:rsidRPr="000B1272">
              <w:rPr>
                <w:rFonts w:ascii="Times New Roman" w:eastAsia="SimSun" w:hAnsi="Times New Roman" w:cs="Times New Roman"/>
                <w:color w:val="000000"/>
                <w:szCs w:val="20"/>
                <w:highlight w:val="yellow"/>
                <w:lang w:val="x-none" w:eastAsia="zh-CN"/>
              </w:rPr>
              <w:t>,</w:t>
            </w:r>
            <w:r w:rsidRPr="000B1272">
              <w:rPr>
                <w:rFonts w:ascii="Times New Roman" w:eastAsia="SimSun" w:hAnsi="Times New Roman" w:cs="Times New Roman" w:hint="eastAsia"/>
                <w:color w:val="000000"/>
                <w:szCs w:val="20"/>
                <w:highlight w:val="yellow"/>
                <w:lang w:eastAsia="zh-CN"/>
              </w:rPr>
              <w:t xml:space="preserve"> and at least one resource set is configured with </w:t>
            </w:r>
            <w:proofErr w:type="spellStart"/>
            <w:r w:rsidRPr="000B1272">
              <w:rPr>
                <w:rFonts w:ascii="Times New Roman" w:eastAsia="SimSun" w:hAnsi="Times New Roman" w:cs="Times New Roman" w:hint="eastAsia"/>
                <w:i/>
                <w:iCs/>
                <w:color w:val="000000"/>
                <w:szCs w:val="20"/>
                <w:highlight w:val="yellow"/>
                <w:lang w:eastAsia="zh-CN"/>
              </w:rPr>
              <w:t>availableSlotOffset</w:t>
            </w:r>
            <w:proofErr w:type="spellEnd"/>
            <w:r w:rsidRPr="000B1272">
              <w:rPr>
                <w:rFonts w:ascii="Times New Roman" w:eastAsia="SimSun" w:hAnsi="Times New Roman" w:cs="Times New Roman"/>
                <w:i/>
                <w:iCs/>
                <w:color w:val="000000"/>
                <w:szCs w:val="20"/>
                <w:highlight w:val="yellow"/>
                <w:lang w:val="x-none" w:eastAsia="zh-CN"/>
              </w:rPr>
              <w:t>List</w:t>
            </w:r>
            <w:r w:rsidRPr="000B1272">
              <w:rPr>
                <w:rFonts w:ascii="Times New Roman" w:eastAsia="SimSun" w:hAnsi="Times New Roman" w:cs="Times New Roman" w:hint="eastAsia"/>
                <w:color w:val="000000"/>
                <w:szCs w:val="20"/>
                <w:highlight w:val="yellow"/>
                <w:lang w:eastAsia="zh-CN"/>
              </w:rPr>
              <w:t xml:space="preserve"> </w:t>
            </w:r>
            <w:r w:rsidRPr="000B1272">
              <w:rPr>
                <w:rFonts w:ascii="Times New Roman" w:eastAsia="SimSun" w:hAnsi="Times New Roman" w:cs="Times New Roman" w:hint="eastAsia"/>
                <w:color w:val="000000"/>
                <w:szCs w:val="20"/>
                <w:highlight w:val="yellow"/>
                <w:lang w:val="en-AU" w:eastAsia="zh-CN"/>
              </w:rPr>
              <w:t xml:space="preserve">parameter of more than one values, the indicated value of </w:t>
            </w:r>
            <w:r w:rsidRPr="000B1272">
              <w:rPr>
                <w:rFonts w:ascii="Times New Roman" w:eastAsia="SimSun" w:hAnsi="Times New Roman" w:cs="Times New Roman"/>
                <w:i/>
                <w:iCs/>
                <w:color w:val="000000"/>
                <w:szCs w:val="20"/>
                <w:highlight w:val="yellow"/>
                <w:lang w:val="x-none" w:eastAsia="zh-CN"/>
              </w:rPr>
              <w:t>t</w:t>
            </w:r>
            <w:r w:rsidRPr="000B1272">
              <w:rPr>
                <w:rFonts w:ascii="Times New Roman" w:eastAsia="SimSun" w:hAnsi="Times New Roman" w:cs="Times New Roman" w:hint="eastAsia"/>
                <w:i/>
                <w:iCs/>
                <w:color w:val="000000"/>
                <w:szCs w:val="20"/>
                <w:highlight w:val="yellow"/>
                <w:lang w:eastAsia="zh-CN"/>
              </w:rPr>
              <w:t xml:space="preserve"> </w:t>
            </w:r>
            <w:r w:rsidRPr="000B1272">
              <w:rPr>
                <w:rFonts w:ascii="Times New Roman" w:eastAsia="SimSun" w:hAnsi="Times New Roman" w:cs="Times New Roman" w:hint="eastAsia"/>
                <w:color w:val="000000"/>
                <w:szCs w:val="20"/>
                <w:highlight w:val="yellow"/>
                <w:lang w:eastAsia="zh-CN"/>
              </w:rPr>
              <w:t>is indicated by SOI field in DCI scheduling PUSCH/PDSCH and DCI 0_1/0_2 without data and without CSI request described in [5, TS 38.212].</w:t>
            </w:r>
            <w:r w:rsidRPr="000B1272">
              <w:rPr>
                <w:rFonts w:ascii="Times New Roman" w:eastAsia="SimSun" w:hAnsi="Times New Roman" w:cs="Times New Roman" w:hint="eastAsia"/>
                <w:color w:val="000000"/>
                <w:szCs w:val="20"/>
                <w:lang w:eastAsia="zh-CN"/>
              </w:rPr>
              <w:t xml:space="preserve"> </w:t>
            </w:r>
            <w:r w:rsidRPr="000B1272">
              <w:rPr>
                <w:rFonts w:ascii="Times New Roman" w:eastAsia="SimSun" w:hAnsi="Times New Roman" w:cs="Times New Roman" w:hint="eastAsia"/>
                <w:color w:val="000000"/>
                <w:szCs w:val="20"/>
                <w:lang w:val="en-AU" w:eastAsia="zh-CN"/>
              </w:rPr>
              <w:t xml:space="preserve">The UE shall apply indicated value </w:t>
            </w:r>
            <w:r w:rsidRPr="000B1272">
              <w:rPr>
                <w:rFonts w:ascii="Times New Roman" w:eastAsia="SimSun" w:hAnsi="Times New Roman" w:cs="Times New Roman"/>
                <w:i/>
                <w:iCs/>
                <w:color w:val="000000"/>
                <w:szCs w:val="20"/>
                <w:lang w:val="x-none" w:eastAsia="zh-CN"/>
              </w:rPr>
              <w:t>t</w:t>
            </w:r>
            <w:r w:rsidRPr="000B1272">
              <w:rPr>
                <w:rFonts w:ascii="Times New Roman" w:eastAsia="SimSun" w:hAnsi="Times New Roman" w:cs="Times New Roman" w:hint="eastAsia"/>
                <w:i/>
                <w:iCs/>
                <w:color w:val="000000"/>
                <w:szCs w:val="20"/>
                <w:lang w:eastAsia="zh-CN"/>
              </w:rPr>
              <w:t xml:space="preserve"> </w:t>
            </w:r>
            <w:r w:rsidRPr="000B1272">
              <w:rPr>
                <w:rFonts w:ascii="Times New Roman" w:eastAsia="SimSun" w:hAnsi="Times New Roman" w:cs="Times New Roman" w:hint="eastAsia"/>
                <w:color w:val="000000"/>
                <w:szCs w:val="20"/>
                <w:lang w:eastAsia="zh-CN"/>
              </w:rPr>
              <w:t>specifically</w:t>
            </w:r>
            <w:r w:rsidRPr="000B1272">
              <w:rPr>
                <w:rFonts w:ascii="Times New Roman" w:eastAsia="SimSun" w:hAnsi="Times New Roman" w:cs="Times New Roman" w:hint="eastAsia"/>
                <w:i/>
                <w:iCs/>
                <w:color w:val="000000"/>
                <w:szCs w:val="20"/>
                <w:lang w:eastAsia="zh-CN"/>
              </w:rPr>
              <w:t xml:space="preserve"> </w:t>
            </w:r>
            <w:r w:rsidRPr="000B1272">
              <w:rPr>
                <w:rFonts w:ascii="Times New Roman" w:eastAsia="SimSun" w:hAnsi="Times New Roman" w:cs="Times New Roman" w:hint="eastAsia"/>
                <w:color w:val="000000"/>
                <w:szCs w:val="20"/>
                <w:lang w:eastAsia="zh-CN"/>
              </w:rPr>
              <w:t xml:space="preserve">for those sets with configured </w:t>
            </w:r>
            <w:proofErr w:type="spellStart"/>
            <w:r w:rsidRPr="000B1272">
              <w:rPr>
                <w:rFonts w:ascii="Times New Roman" w:eastAsia="SimSun" w:hAnsi="Times New Roman" w:cs="Times New Roman" w:hint="eastAsia"/>
                <w:i/>
                <w:iCs/>
                <w:color w:val="000000"/>
                <w:szCs w:val="20"/>
                <w:lang w:eastAsia="zh-CN"/>
              </w:rPr>
              <w:t>availableSlotOffset</w:t>
            </w:r>
            <w:proofErr w:type="spellEnd"/>
            <w:r w:rsidRPr="000B1272">
              <w:rPr>
                <w:rFonts w:ascii="Times New Roman" w:eastAsia="SimSun" w:hAnsi="Times New Roman" w:cs="Times New Roman"/>
                <w:i/>
                <w:iCs/>
                <w:color w:val="000000"/>
                <w:szCs w:val="20"/>
                <w:lang w:val="x-none" w:eastAsia="zh-CN"/>
              </w:rPr>
              <w:t>List</w:t>
            </w:r>
            <w:r w:rsidRPr="000B1272">
              <w:rPr>
                <w:rFonts w:ascii="Times New Roman" w:eastAsia="SimSun" w:hAnsi="Times New Roman" w:cs="Times New Roman" w:hint="eastAsia"/>
                <w:color w:val="000000"/>
                <w:szCs w:val="20"/>
                <w:lang w:eastAsia="zh-CN"/>
              </w:rPr>
              <w:t xml:space="preserve"> </w:t>
            </w:r>
            <w:r w:rsidRPr="000B1272">
              <w:rPr>
                <w:rFonts w:ascii="Times New Roman" w:eastAsia="SimSun" w:hAnsi="Times New Roman" w:cs="Times New Roman" w:hint="eastAsia"/>
                <w:color w:val="000000"/>
                <w:szCs w:val="20"/>
                <w:lang w:val="en-AU" w:eastAsia="zh-CN"/>
              </w:rPr>
              <w:t xml:space="preserve">parameter. When </w:t>
            </w:r>
            <w:r w:rsidRPr="000B1272">
              <w:rPr>
                <w:rFonts w:ascii="Times New Roman" w:eastAsia="SimSun" w:hAnsi="Times New Roman" w:cs="Times New Roman" w:hint="eastAsia"/>
                <w:color w:val="000000"/>
                <w:szCs w:val="20"/>
                <w:lang w:eastAsia="zh-CN"/>
              </w:rPr>
              <w:t xml:space="preserve">one or more SRS resource sets </w:t>
            </w:r>
            <w:r w:rsidRPr="000B1272">
              <w:rPr>
                <w:rFonts w:ascii="Times New Roman" w:eastAsia="SimSun" w:hAnsi="Times New Roman" w:cs="Times New Roman"/>
                <w:color w:val="000000"/>
                <w:szCs w:val="20"/>
                <w:lang w:val="x-none" w:eastAsia="zh-CN"/>
              </w:rPr>
              <w:t>across all configured BWPs in a</w:t>
            </w:r>
            <w:r w:rsidRPr="000B1272">
              <w:rPr>
                <w:rFonts w:ascii="Times New Roman" w:eastAsia="SimSun" w:hAnsi="Times New Roman" w:cs="Times New Roman" w:hint="eastAsia"/>
                <w:color w:val="000000"/>
                <w:szCs w:val="20"/>
                <w:lang w:eastAsia="zh-CN"/>
              </w:rPr>
              <w:t xml:space="preserve"> component carrier are configured </w:t>
            </w:r>
            <w:r w:rsidRPr="000B1272">
              <w:rPr>
                <w:rFonts w:ascii="Times New Roman" w:eastAsia="SimSun" w:hAnsi="Times New Roman" w:cs="Times New Roman" w:hint="eastAsia"/>
                <w:color w:val="000000"/>
                <w:szCs w:val="20"/>
                <w:highlight w:val="cyan"/>
                <w:lang w:eastAsia="zh-CN"/>
              </w:rPr>
              <w:t xml:space="preserve">and at least one resource set is configured with </w:t>
            </w:r>
            <w:proofErr w:type="spellStart"/>
            <w:r w:rsidRPr="000B1272">
              <w:rPr>
                <w:rFonts w:ascii="Times New Roman" w:eastAsia="SimSun" w:hAnsi="Times New Roman" w:cs="Times New Roman" w:hint="eastAsia"/>
                <w:i/>
                <w:iCs/>
                <w:color w:val="000000"/>
                <w:szCs w:val="20"/>
                <w:highlight w:val="cyan"/>
                <w:lang w:eastAsia="zh-CN"/>
              </w:rPr>
              <w:t>availableSlotOffset</w:t>
            </w:r>
            <w:proofErr w:type="spellEnd"/>
            <w:r w:rsidRPr="000B1272">
              <w:rPr>
                <w:rFonts w:ascii="Times New Roman" w:eastAsia="SimSun" w:hAnsi="Times New Roman" w:cs="Times New Roman"/>
                <w:i/>
                <w:iCs/>
                <w:color w:val="000000"/>
                <w:szCs w:val="20"/>
                <w:highlight w:val="cyan"/>
                <w:lang w:val="x-none" w:eastAsia="zh-CN"/>
              </w:rPr>
              <w:t>List</w:t>
            </w:r>
            <w:r w:rsidRPr="000B1272">
              <w:rPr>
                <w:rFonts w:ascii="Times New Roman" w:eastAsia="SimSun" w:hAnsi="Times New Roman" w:cs="Times New Roman" w:hint="eastAsia"/>
                <w:color w:val="000000"/>
                <w:szCs w:val="20"/>
                <w:highlight w:val="cyan"/>
                <w:lang w:eastAsia="zh-CN"/>
              </w:rPr>
              <w:t xml:space="preserve"> </w:t>
            </w:r>
            <w:r w:rsidRPr="000B1272">
              <w:rPr>
                <w:rFonts w:ascii="Times New Roman" w:eastAsia="SimSun" w:hAnsi="Times New Roman" w:cs="Times New Roman" w:hint="eastAsia"/>
                <w:color w:val="000000"/>
                <w:szCs w:val="20"/>
                <w:highlight w:val="cyan"/>
                <w:lang w:val="en-AU" w:eastAsia="zh-CN"/>
              </w:rPr>
              <w:t xml:space="preserve">parameter, and the </w:t>
            </w:r>
            <w:proofErr w:type="spellStart"/>
            <w:r w:rsidRPr="000B1272">
              <w:rPr>
                <w:rFonts w:ascii="Times New Roman" w:eastAsia="SimSun" w:hAnsi="Times New Roman" w:cs="Times New Roman" w:hint="eastAsia"/>
                <w:i/>
                <w:iCs/>
                <w:color w:val="000000"/>
                <w:szCs w:val="20"/>
                <w:highlight w:val="cyan"/>
                <w:lang w:eastAsia="zh-CN"/>
              </w:rPr>
              <w:t>availableSlotOffset</w:t>
            </w:r>
            <w:proofErr w:type="spellEnd"/>
            <w:r w:rsidRPr="000B1272">
              <w:rPr>
                <w:rFonts w:ascii="Times New Roman" w:eastAsia="SimSun" w:hAnsi="Times New Roman" w:cs="Times New Roman"/>
                <w:i/>
                <w:iCs/>
                <w:color w:val="000000"/>
                <w:szCs w:val="20"/>
                <w:highlight w:val="cyan"/>
                <w:lang w:val="x-none" w:eastAsia="zh-CN"/>
              </w:rPr>
              <w:t>List</w:t>
            </w:r>
            <w:r w:rsidRPr="000B1272">
              <w:rPr>
                <w:rFonts w:ascii="Times New Roman" w:eastAsia="SimSun" w:hAnsi="Times New Roman" w:cs="Times New Roman" w:hint="eastAsia"/>
                <w:color w:val="000000"/>
                <w:szCs w:val="20"/>
                <w:highlight w:val="cyan"/>
                <w:lang w:eastAsia="zh-CN"/>
              </w:rPr>
              <w:t xml:space="preserve"> </w:t>
            </w:r>
            <w:r w:rsidRPr="000B1272">
              <w:rPr>
                <w:rFonts w:ascii="Times New Roman" w:eastAsia="SimSun" w:hAnsi="Times New Roman" w:cs="Times New Roman" w:hint="eastAsia"/>
                <w:color w:val="000000"/>
                <w:szCs w:val="20"/>
                <w:highlight w:val="cyan"/>
                <w:lang w:val="en-AU" w:eastAsia="zh-CN"/>
              </w:rPr>
              <w:t xml:space="preserve">parameter for each SRS resource set has only one value, the UE shall apply the configured value </w:t>
            </w:r>
            <w:r w:rsidRPr="000B1272">
              <w:rPr>
                <w:rFonts w:ascii="Times New Roman" w:eastAsia="SimSun" w:hAnsi="Times New Roman" w:cs="Times New Roman" w:hint="eastAsia"/>
                <w:color w:val="000000"/>
                <w:szCs w:val="20"/>
                <w:highlight w:val="cyan"/>
                <w:lang w:eastAsia="zh-CN"/>
              </w:rPr>
              <w:t>specifically</w:t>
            </w:r>
            <w:r w:rsidRPr="000B1272">
              <w:rPr>
                <w:rFonts w:ascii="Times New Roman" w:eastAsia="SimSun" w:hAnsi="Times New Roman" w:cs="Times New Roman" w:hint="eastAsia"/>
                <w:i/>
                <w:iCs/>
                <w:color w:val="000000"/>
                <w:szCs w:val="20"/>
                <w:highlight w:val="cyan"/>
                <w:lang w:eastAsia="zh-CN"/>
              </w:rPr>
              <w:t xml:space="preserve"> </w:t>
            </w:r>
            <w:r w:rsidRPr="000B1272">
              <w:rPr>
                <w:rFonts w:ascii="Times New Roman" w:eastAsia="SimSun" w:hAnsi="Times New Roman" w:cs="Times New Roman" w:hint="eastAsia"/>
                <w:color w:val="000000"/>
                <w:szCs w:val="20"/>
                <w:highlight w:val="cyan"/>
                <w:lang w:eastAsia="zh-CN"/>
              </w:rPr>
              <w:t xml:space="preserve">for those sets with configured </w:t>
            </w:r>
            <w:proofErr w:type="spellStart"/>
            <w:r w:rsidRPr="000B1272">
              <w:rPr>
                <w:rFonts w:ascii="Times New Roman" w:eastAsia="SimSun" w:hAnsi="Times New Roman" w:cs="Times New Roman" w:hint="eastAsia"/>
                <w:i/>
                <w:iCs/>
                <w:color w:val="000000"/>
                <w:szCs w:val="20"/>
                <w:highlight w:val="cyan"/>
                <w:lang w:eastAsia="zh-CN"/>
              </w:rPr>
              <w:t>availableSlotOffset</w:t>
            </w:r>
            <w:proofErr w:type="spellEnd"/>
            <w:r w:rsidRPr="000B1272">
              <w:rPr>
                <w:rFonts w:ascii="Times New Roman" w:eastAsia="SimSun" w:hAnsi="Times New Roman" w:cs="Times New Roman"/>
                <w:i/>
                <w:iCs/>
                <w:color w:val="000000"/>
                <w:szCs w:val="20"/>
                <w:highlight w:val="cyan"/>
                <w:lang w:val="x-none" w:eastAsia="zh-CN"/>
              </w:rPr>
              <w:t>List</w:t>
            </w:r>
            <w:r w:rsidRPr="000B1272">
              <w:rPr>
                <w:rFonts w:ascii="Times New Roman" w:eastAsia="SimSun" w:hAnsi="Times New Roman" w:cs="Times New Roman" w:hint="eastAsia"/>
                <w:color w:val="000000"/>
                <w:szCs w:val="20"/>
                <w:highlight w:val="cyan"/>
                <w:lang w:eastAsia="zh-CN"/>
              </w:rPr>
              <w:t xml:space="preserve"> </w:t>
            </w:r>
            <w:r w:rsidRPr="000B1272">
              <w:rPr>
                <w:rFonts w:ascii="Times New Roman" w:eastAsia="SimSun" w:hAnsi="Times New Roman" w:cs="Times New Roman" w:hint="eastAsia"/>
                <w:color w:val="000000"/>
                <w:szCs w:val="20"/>
                <w:highlight w:val="cyan"/>
                <w:lang w:val="en-AU" w:eastAsia="zh-CN"/>
              </w:rPr>
              <w:t>parameter</w:t>
            </w:r>
            <w:r w:rsidRPr="000B1272">
              <w:rPr>
                <w:rFonts w:ascii="Times New Roman" w:eastAsia="SimSun" w:hAnsi="Times New Roman" w:cs="Times New Roman" w:hint="eastAsia"/>
                <w:color w:val="000000"/>
                <w:szCs w:val="20"/>
                <w:lang w:val="en-AU" w:eastAsia="zh-CN"/>
              </w:rPr>
              <w:t>.</w:t>
            </w:r>
            <w:r w:rsidRPr="000B1272">
              <w:rPr>
                <w:rFonts w:ascii="Times New Roman" w:eastAsia="SimSun" w:hAnsi="Times New Roman" w:cs="Times New Roman"/>
                <w:iCs/>
                <w:color w:val="000000"/>
                <w:szCs w:val="20"/>
                <w:lang w:val="en-AU"/>
              </w:rPr>
              <w:t xml:space="preserve"> For SRS resource set configured with </w:t>
            </w:r>
            <w:proofErr w:type="spellStart"/>
            <w:r w:rsidRPr="000B1272">
              <w:rPr>
                <w:rFonts w:ascii="Times New Roman" w:eastAsia="SimSun" w:hAnsi="Times New Roman" w:cs="Times New Roman"/>
                <w:i/>
                <w:color w:val="000000"/>
                <w:szCs w:val="20"/>
                <w:lang w:val="en-AU"/>
              </w:rPr>
              <w:t>availableSlotOffset</w:t>
            </w:r>
            <w:proofErr w:type="spellEnd"/>
            <w:r w:rsidRPr="000B1272">
              <w:rPr>
                <w:rFonts w:ascii="Times New Roman" w:eastAsia="SimSun" w:hAnsi="Times New Roman" w:cs="Times New Roman"/>
                <w:i/>
                <w:iCs/>
                <w:color w:val="000000"/>
                <w:szCs w:val="20"/>
                <w:lang w:val="x-none" w:eastAsia="zh-CN"/>
              </w:rPr>
              <w:t>List</w:t>
            </w:r>
            <w:r w:rsidRPr="000B1272">
              <w:rPr>
                <w:rFonts w:ascii="Times New Roman" w:eastAsia="SimSun" w:hAnsi="Times New Roman" w:cs="Times New Roman"/>
                <w:iCs/>
                <w:color w:val="000000"/>
                <w:szCs w:val="20"/>
                <w:lang w:val="en-AU"/>
              </w:rPr>
              <w:t xml:space="preserve"> parameter, each of resource set is configured with </w:t>
            </w:r>
            <w:r w:rsidRPr="000B1272">
              <w:rPr>
                <w:rFonts w:ascii="Times New Roman" w:eastAsia="SimSun" w:hAnsi="Times New Roman" w:cs="Times New Roman"/>
                <w:i/>
                <w:color w:val="000000"/>
                <w:szCs w:val="20"/>
                <w:lang w:val="en-AU"/>
              </w:rPr>
              <w:t>K</w:t>
            </w:r>
            <w:r w:rsidRPr="000B1272">
              <w:rPr>
                <w:rFonts w:ascii="Times New Roman" w:eastAsia="SimSun" w:hAnsi="Times New Roman" w:cs="Times New Roman"/>
                <w:iCs/>
                <w:color w:val="000000"/>
                <w:szCs w:val="20"/>
                <w:lang w:val="en-AU"/>
              </w:rPr>
              <w:t xml:space="preserve"> values of </w:t>
            </w:r>
            <w:proofErr w:type="spellStart"/>
            <w:r w:rsidRPr="000B1272">
              <w:rPr>
                <w:rFonts w:ascii="Times New Roman" w:eastAsia="SimSun" w:hAnsi="Times New Roman" w:cs="Times New Roman"/>
                <w:i/>
                <w:color w:val="000000"/>
                <w:szCs w:val="20"/>
                <w:lang w:val="x-none"/>
              </w:rPr>
              <w:t>AvailableSlotOffset</w:t>
            </w:r>
            <w:proofErr w:type="spellEnd"/>
            <w:r w:rsidRPr="000B1272">
              <w:rPr>
                <w:rFonts w:ascii="Times New Roman" w:eastAsia="SimSun" w:hAnsi="Times New Roman" w:cs="Times New Roman"/>
                <w:iCs/>
                <w:color w:val="000000"/>
                <w:szCs w:val="20"/>
                <w:lang w:val="en-AU"/>
              </w:rPr>
              <w:t xml:space="preserve">. </w:t>
            </w:r>
            <w:r w:rsidRPr="000B1272">
              <w:rPr>
                <w:rFonts w:ascii="Times New Roman" w:eastAsia="SimSun" w:hAnsi="Times New Roman" w:cs="Times New Roman"/>
                <w:iCs/>
                <w:color w:val="000000"/>
                <w:szCs w:val="20"/>
                <w:highlight w:val="cyan"/>
                <w:lang w:val="en-AU"/>
              </w:rPr>
              <w:t xml:space="preserve">For SRS resource set configured without </w:t>
            </w:r>
            <w:proofErr w:type="spellStart"/>
            <w:r w:rsidRPr="000B1272">
              <w:rPr>
                <w:rFonts w:ascii="Times New Roman" w:eastAsia="SimSun" w:hAnsi="Times New Roman" w:cs="Times New Roman"/>
                <w:i/>
                <w:color w:val="000000"/>
                <w:szCs w:val="20"/>
                <w:highlight w:val="cyan"/>
                <w:lang w:val="en-AU"/>
              </w:rPr>
              <w:t>availableSlotOffset</w:t>
            </w:r>
            <w:proofErr w:type="spellEnd"/>
            <w:r w:rsidRPr="000B1272">
              <w:rPr>
                <w:rFonts w:ascii="Times New Roman" w:eastAsia="SimSun" w:hAnsi="Times New Roman" w:cs="Times New Roman"/>
                <w:i/>
                <w:color w:val="000000"/>
                <w:szCs w:val="20"/>
                <w:highlight w:val="cyan"/>
                <w:lang w:val="x-none"/>
              </w:rPr>
              <w:t>List</w:t>
            </w:r>
            <w:r w:rsidRPr="000B1272">
              <w:rPr>
                <w:rFonts w:ascii="Times New Roman" w:eastAsia="SimSun" w:hAnsi="Times New Roman" w:cs="Times New Roman"/>
                <w:iCs/>
                <w:color w:val="000000"/>
                <w:szCs w:val="20"/>
                <w:highlight w:val="cyan"/>
                <w:lang w:val="en-AU"/>
              </w:rPr>
              <w:t xml:space="preserve"> parameter, </w:t>
            </w:r>
            <w:r w:rsidRPr="000B1272">
              <w:rPr>
                <w:rFonts w:ascii="Times New Roman" w:eastAsia="SimSun" w:hAnsi="Times New Roman" w:cs="Times New Roman"/>
                <w:i/>
                <w:color w:val="000000"/>
                <w:szCs w:val="20"/>
                <w:highlight w:val="cyan"/>
                <w:lang w:val="en-AU"/>
              </w:rPr>
              <w:t>t</w:t>
            </w:r>
            <w:r w:rsidRPr="000B1272">
              <w:rPr>
                <w:rFonts w:ascii="Times New Roman" w:eastAsia="SimSun" w:hAnsi="Times New Roman" w:cs="Times New Roman"/>
                <w:iCs/>
                <w:color w:val="000000"/>
                <w:szCs w:val="20"/>
                <w:highlight w:val="cyan"/>
                <w:lang w:val="x-none"/>
              </w:rPr>
              <w:t xml:space="preserve"> </w:t>
            </w:r>
            <w:r w:rsidRPr="000B1272">
              <w:rPr>
                <w:rFonts w:ascii="Times New Roman" w:eastAsia="SimSun" w:hAnsi="Times New Roman" w:cs="Times New Roman"/>
                <w:iCs/>
                <w:color w:val="000000"/>
                <w:szCs w:val="20"/>
                <w:highlight w:val="cyan"/>
                <w:lang w:val="en-AU"/>
              </w:rPr>
              <w:t>=</w:t>
            </w:r>
            <w:r w:rsidRPr="000B1272">
              <w:rPr>
                <w:rFonts w:ascii="Times New Roman" w:eastAsia="SimSun" w:hAnsi="Times New Roman" w:cs="Times New Roman"/>
                <w:iCs/>
                <w:color w:val="000000"/>
                <w:szCs w:val="20"/>
                <w:highlight w:val="cyan"/>
                <w:lang w:val="x-none"/>
              </w:rPr>
              <w:t xml:space="preserve"> </w:t>
            </w:r>
            <w:r w:rsidRPr="000B1272">
              <w:rPr>
                <w:rFonts w:ascii="Times New Roman" w:eastAsia="SimSun" w:hAnsi="Times New Roman" w:cs="Times New Roman"/>
                <w:iCs/>
                <w:color w:val="000000"/>
                <w:szCs w:val="20"/>
                <w:highlight w:val="cyan"/>
                <w:lang w:val="en-AU"/>
              </w:rPr>
              <w:t>0 is applied for the resource set</w:t>
            </w:r>
            <w:r w:rsidRPr="000B1272">
              <w:rPr>
                <w:rFonts w:ascii="Times New Roman" w:eastAsia="SimSun" w:hAnsi="Times New Roman" w:cs="Times New Roman"/>
                <w:iCs/>
                <w:color w:val="000000"/>
                <w:szCs w:val="20"/>
                <w:lang w:val="x-none"/>
              </w:rPr>
              <w:t>.</w:t>
            </w:r>
          </w:p>
        </w:tc>
      </w:tr>
    </w:tbl>
    <w:p w14:paraId="78909797" w14:textId="77777777" w:rsidR="00C04F3E" w:rsidRDefault="00C04F3E" w:rsidP="0065742C">
      <w:pPr>
        <w:pStyle w:val="ListBullet"/>
        <w:numPr>
          <w:ilvl w:val="0"/>
          <w:numId w:val="0"/>
        </w:numPr>
        <w:rPr>
          <w:lang w:val="en-GB"/>
        </w:rPr>
      </w:pPr>
    </w:p>
    <w:p w14:paraId="7A57B0C3" w14:textId="41A50233" w:rsidR="002F1510" w:rsidRDefault="00C04F3E" w:rsidP="008A34D7">
      <w:pPr>
        <w:pStyle w:val="ListBullet"/>
        <w:numPr>
          <w:ilvl w:val="0"/>
          <w:numId w:val="0"/>
        </w:numPr>
        <w:rPr>
          <w:lang w:val="en-GB"/>
        </w:rPr>
      </w:pPr>
      <w:r>
        <w:rPr>
          <w:lang w:val="en-GB"/>
        </w:rPr>
        <w:t xml:space="preserve">The timing of SRS carrier switching is described in 38.214 section 6.2.1.3 with the following.  </w:t>
      </w:r>
      <w:r w:rsidR="008A7916">
        <w:rPr>
          <w:lang w:val="en-GB"/>
        </w:rPr>
        <w:t xml:space="preserve">As </w:t>
      </w:r>
      <w:r w:rsidR="002F1510">
        <w:rPr>
          <w:lang w:val="en-GB"/>
        </w:rPr>
        <w:t>observe</w:t>
      </w:r>
      <w:r w:rsidR="008A7916">
        <w:rPr>
          <w:lang w:val="en-GB"/>
        </w:rPr>
        <w:t>d in section 2.2,</w:t>
      </w:r>
      <w:r w:rsidR="002F1510">
        <w:rPr>
          <w:lang w:val="en-GB"/>
        </w:rPr>
        <w:t xml:space="preserve"> the timing for SRS carrier switching is such that the transmission of the SRS is no earlier than the sum of the UE capability for the </w:t>
      </w:r>
      <w:r w:rsidR="002F1510" w:rsidRPr="002F1510">
        <w:rPr>
          <w:lang w:val="en-GB"/>
        </w:rPr>
        <w:t>minimum time interval between the DCI triggering and aperiodic SRS transmission</w:t>
      </w:r>
      <w:r w:rsidR="002F1510">
        <w:rPr>
          <w:lang w:val="en-GB"/>
        </w:rPr>
        <w:t xml:space="preserve"> and the capability for switching time.  This </w:t>
      </w:r>
      <w:proofErr w:type="spellStart"/>
      <w:r w:rsidR="002F1510">
        <w:rPr>
          <w:lang w:val="en-GB"/>
        </w:rPr>
        <w:t>behavior</w:t>
      </w:r>
      <w:proofErr w:type="spellEnd"/>
      <w:r w:rsidR="002F1510">
        <w:rPr>
          <w:lang w:val="en-GB"/>
        </w:rPr>
        <w:t xml:space="preserve"> is different than the timing with SRS offset indication in available slot operation, </w:t>
      </w:r>
      <w:proofErr w:type="gramStart"/>
      <w:r w:rsidR="002F1510">
        <w:rPr>
          <w:lang w:val="en-GB"/>
        </w:rPr>
        <w:t>and also</w:t>
      </w:r>
      <w:proofErr w:type="gramEnd"/>
      <w:r w:rsidR="002F1510">
        <w:rPr>
          <w:lang w:val="en-GB"/>
        </w:rPr>
        <w:t xml:space="preserve"> does not </w:t>
      </w:r>
      <w:r w:rsidR="00704C02">
        <w:rPr>
          <w:lang w:val="en-GB"/>
        </w:rPr>
        <w:t xml:space="preserve">explicitly </w:t>
      </w:r>
      <w:r w:rsidR="002F1510">
        <w:rPr>
          <w:lang w:val="en-GB"/>
        </w:rPr>
        <w:t xml:space="preserve">take into account the configured values in </w:t>
      </w:r>
      <w:proofErr w:type="spellStart"/>
      <w:r w:rsidR="002F1510" w:rsidRPr="002F1510">
        <w:rPr>
          <w:i/>
          <w:iCs/>
          <w:lang w:val="en-GB"/>
        </w:rPr>
        <w:t>availableSlotOffsetList</w:t>
      </w:r>
      <w:proofErr w:type="spellEnd"/>
      <w:r w:rsidR="002F1510">
        <w:rPr>
          <w:lang w:val="en-GB"/>
        </w:rPr>
        <w:t xml:space="preserve">.  </w:t>
      </w:r>
      <w:r w:rsidR="008A7916">
        <w:rPr>
          <w:lang w:val="en-GB"/>
        </w:rPr>
        <w:t xml:space="preserve">However, </w:t>
      </w:r>
      <w:r w:rsidR="00002647">
        <w:rPr>
          <w:lang w:val="en-GB"/>
        </w:rPr>
        <w:t xml:space="preserve">as pointed out during RAN1#115 discussions </w:t>
      </w:r>
      <w:r w:rsidR="00002647">
        <w:rPr>
          <w:lang w:val="en-GB"/>
        </w:rPr>
        <w:fldChar w:fldCharType="begin"/>
      </w:r>
      <w:r w:rsidR="00002647">
        <w:rPr>
          <w:lang w:val="en-GB"/>
        </w:rPr>
        <w:instrText xml:space="preserve"> REF _Ref146564676 \r \h </w:instrText>
      </w:r>
      <w:r w:rsidR="00002647">
        <w:rPr>
          <w:lang w:val="en-GB"/>
        </w:rPr>
      </w:r>
      <w:r w:rsidR="00002647">
        <w:rPr>
          <w:lang w:val="en-GB"/>
        </w:rPr>
        <w:fldChar w:fldCharType="separate"/>
      </w:r>
      <w:r w:rsidR="006B7E78">
        <w:rPr>
          <w:lang w:val="en-GB"/>
        </w:rPr>
        <w:t>[2]</w:t>
      </w:r>
      <w:r w:rsidR="00002647">
        <w:rPr>
          <w:lang w:val="en-GB"/>
        </w:rPr>
        <w:fldChar w:fldCharType="end"/>
      </w:r>
      <w:r w:rsidR="00B85F3F">
        <w:rPr>
          <w:lang w:val="en-GB"/>
        </w:rPr>
        <w:t>,</w:t>
      </w:r>
      <w:r w:rsidR="00002647">
        <w:rPr>
          <w:lang w:val="en-GB"/>
        </w:rPr>
        <w:t xml:space="preserve"> </w:t>
      </w:r>
      <w:r w:rsidR="00B85F3F">
        <w:rPr>
          <w:lang w:val="en-GB"/>
        </w:rPr>
        <w:t xml:space="preserve">aperiodic SRS carrier switching can be compatible with </w:t>
      </w:r>
      <w:r w:rsidR="008A7916">
        <w:rPr>
          <w:lang w:val="en-GB"/>
        </w:rPr>
        <w:t>available slot operation</w:t>
      </w:r>
      <w:r w:rsidR="00B85F3F">
        <w:rPr>
          <w:lang w:val="en-GB"/>
        </w:rPr>
        <w:t>.</w:t>
      </w:r>
      <w:r w:rsidR="008A7916">
        <w:rPr>
          <w:lang w:val="en-GB"/>
        </w:rPr>
        <w:t xml:space="preserve"> </w:t>
      </w:r>
      <w:r w:rsidR="00B85F3F">
        <w:rPr>
          <w:lang w:val="en-GB"/>
        </w:rPr>
        <w:t>A</w:t>
      </w:r>
      <w:r w:rsidR="008A7916">
        <w:rPr>
          <w:lang w:val="en-GB"/>
        </w:rPr>
        <w:t>s long as DCI does not need to indicate the available slot (</w:t>
      </w:r>
      <w:proofErr w:type="gramStart"/>
      <w:r w:rsidR="008A7916">
        <w:rPr>
          <w:lang w:val="en-GB"/>
        </w:rPr>
        <w:t>i.e.</w:t>
      </w:r>
      <w:proofErr w:type="gramEnd"/>
      <w:r w:rsidR="008A7916">
        <w:rPr>
          <w:lang w:val="en-GB"/>
        </w:rPr>
        <w:t xml:space="preserve"> the </w:t>
      </w:r>
      <w:proofErr w:type="spellStart"/>
      <w:r w:rsidR="008A7916" w:rsidRPr="008A7916">
        <w:rPr>
          <w:lang w:val="en-GB"/>
        </w:rPr>
        <w:t>availableSlotOffsetList</w:t>
      </w:r>
      <w:proofErr w:type="spellEnd"/>
      <w:r w:rsidR="008A7916" w:rsidRPr="008A7916">
        <w:rPr>
          <w:lang w:val="en-GB"/>
        </w:rPr>
        <w:t xml:space="preserve"> parameter for each SRS resource set has only one value</w:t>
      </w:r>
      <w:r w:rsidR="008A7916">
        <w:rPr>
          <w:lang w:val="en-GB"/>
        </w:rPr>
        <w:t xml:space="preserve">, or </w:t>
      </w:r>
      <w:proofErr w:type="spellStart"/>
      <w:r w:rsidR="008A7916" w:rsidRPr="008A7916">
        <w:rPr>
          <w:lang w:val="en-GB"/>
        </w:rPr>
        <w:t>availableSlotOffsetList</w:t>
      </w:r>
      <w:proofErr w:type="spellEnd"/>
      <w:r w:rsidR="008A7916">
        <w:rPr>
          <w:lang w:val="en-GB"/>
        </w:rPr>
        <w:t xml:space="preserve"> is not configured during available slot operation)</w:t>
      </w:r>
      <w:r w:rsidR="00B85F3F">
        <w:rPr>
          <w:lang w:val="en-GB"/>
        </w:rPr>
        <w:t>, the UE can determine the available slot</w:t>
      </w:r>
      <w:r w:rsidR="008A7916">
        <w:rPr>
          <w:lang w:val="en-GB"/>
        </w:rPr>
        <w:t xml:space="preserve">.  The </w:t>
      </w:r>
      <w:r w:rsidR="00704C02">
        <w:rPr>
          <w:lang w:val="en-GB"/>
        </w:rPr>
        <w:t xml:space="preserve">SRS carrier switching </w:t>
      </w:r>
      <w:r w:rsidR="008A7916">
        <w:rPr>
          <w:lang w:val="en-GB"/>
        </w:rPr>
        <w:t xml:space="preserve">transmission can still be no earlier than the minimum time </w:t>
      </w:r>
      <w:r w:rsidR="00704C02">
        <w:rPr>
          <w:lang w:val="en-GB"/>
        </w:rPr>
        <w:t>from the PDCCH</w:t>
      </w:r>
      <w:r w:rsidR="008A34D7">
        <w:rPr>
          <w:lang w:val="en-GB"/>
        </w:rPr>
        <w:t>, but instead the offset can be counted by available slots, which enables more flexible timing for SRS carrier switching.</w:t>
      </w:r>
    </w:p>
    <w:p w14:paraId="4ED5F3BA" w14:textId="77777777" w:rsidR="008A34D7" w:rsidRDefault="008A34D7" w:rsidP="008A34D7">
      <w:pPr>
        <w:pStyle w:val="ListBullet"/>
        <w:numPr>
          <w:ilvl w:val="0"/>
          <w:numId w:val="0"/>
        </w:numPr>
        <w:rPr>
          <w:lang w:val="en-GB"/>
        </w:rPr>
      </w:pPr>
    </w:p>
    <w:tbl>
      <w:tblPr>
        <w:tblStyle w:val="TableGrid"/>
        <w:tblW w:w="0" w:type="auto"/>
        <w:tblLook w:val="04A0" w:firstRow="1" w:lastRow="0" w:firstColumn="1" w:lastColumn="0" w:noHBand="0" w:noVBand="1"/>
      </w:tblPr>
      <w:tblGrid>
        <w:gridCol w:w="9629"/>
      </w:tblGrid>
      <w:tr w:rsidR="00C04F3E" w14:paraId="6D7BAEAE" w14:textId="77777777" w:rsidTr="00C04F3E">
        <w:tc>
          <w:tcPr>
            <w:tcW w:w="9629" w:type="dxa"/>
          </w:tcPr>
          <w:p w14:paraId="3CE92AEB" w14:textId="77777777" w:rsidR="00C04F3E" w:rsidRPr="00C04F3E" w:rsidRDefault="00C04F3E" w:rsidP="00C04F3E">
            <w:pPr>
              <w:autoSpaceDN w:val="0"/>
              <w:spacing w:afterLines="50" w:after="120"/>
              <w:rPr>
                <w:rFonts w:ascii="Times New Roman" w:hAnsi="Times New Roman" w:cs="Times New Roman"/>
                <w:lang w:eastAsia="en-GB"/>
              </w:rPr>
            </w:pPr>
            <w:r w:rsidRPr="00C04F3E">
              <w:rPr>
                <w:rFonts w:ascii="Times New Roman" w:hAnsi="Times New Roman" w:cs="Times New Roman"/>
                <w:lang w:eastAsia="en-GB"/>
              </w:rPr>
              <w:t xml:space="preserve">For </w:t>
            </w:r>
            <w:r w:rsidRPr="00C04F3E">
              <w:rPr>
                <w:rFonts w:ascii="Times New Roman" w:hAnsi="Times New Roman" w:cs="Times New Roman"/>
                <w:i/>
                <w:lang w:eastAsia="en-GB"/>
              </w:rPr>
              <w:t>n</w:t>
            </w:r>
            <w:r w:rsidRPr="00C04F3E">
              <w:rPr>
                <w:rFonts w:ascii="Times New Roman" w:hAnsi="Times New Roman" w:cs="Times New Roman"/>
                <w:lang w:eastAsia="en-GB"/>
              </w:rPr>
              <w:t>-</w:t>
            </w:r>
            <w:proofErr w:type="spellStart"/>
            <w:r w:rsidRPr="00C04F3E">
              <w:rPr>
                <w:rFonts w:ascii="Times New Roman" w:hAnsi="Times New Roman" w:cs="Times New Roman"/>
                <w:lang w:eastAsia="en-GB"/>
              </w:rPr>
              <w:t>th</w:t>
            </w:r>
            <w:proofErr w:type="spellEnd"/>
            <w:r w:rsidRPr="00C04F3E">
              <w:rPr>
                <w:rFonts w:ascii="Times New Roman" w:hAnsi="Times New Roman" w:cs="Times New Roman"/>
                <w:lang w:eastAsia="en-GB"/>
              </w:rPr>
              <w:t xml:space="preserve"> (</w:t>
            </w:r>
            <w:r w:rsidRPr="00C04F3E">
              <w:rPr>
                <w:rFonts w:ascii="Times New Roman" w:hAnsi="Times New Roman" w:cs="Times New Roman"/>
                <w:i/>
                <w:lang w:eastAsia="en-GB"/>
              </w:rPr>
              <w:t xml:space="preserve">n ≥ </w:t>
            </w:r>
            <w:r w:rsidRPr="00C04F3E">
              <w:rPr>
                <w:rFonts w:ascii="Times New Roman" w:hAnsi="Times New Roman" w:cs="Times New Roman"/>
                <w:lang w:eastAsia="en-GB"/>
              </w:rPr>
              <w:t xml:space="preserve">1) aperiodic SRS transmission on a cell </w:t>
            </w:r>
            <w:r w:rsidRPr="00C04F3E">
              <w:rPr>
                <w:rFonts w:ascii="Times New Roman" w:hAnsi="Times New Roman" w:cs="Times New Roman"/>
                <w:i/>
                <w:lang w:eastAsia="en-GB"/>
              </w:rPr>
              <w:t>c</w:t>
            </w:r>
            <w:r w:rsidRPr="00C04F3E">
              <w:rPr>
                <w:rFonts w:ascii="Times New Roman" w:hAnsi="Times New Roman" w:cs="Times New Roman"/>
                <w:lang w:eastAsia="en-GB"/>
              </w:rPr>
              <w:t xml:space="preserve">, upon detection of a positive SRS request on a grant, the UE shall commence this SRS transmission on the configured symbol and slot </w:t>
            </w:r>
            <w:proofErr w:type="gramStart"/>
            <w:r w:rsidRPr="00C04F3E">
              <w:rPr>
                <w:rFonts w:ascii="Times New Roman" w:hAnsi="Times New Roman" w:cs="Times New Roman"/>
                <w:lang w:eastAsia="en-GB"/>
              </w:rPr>
              <w:t>provided</w:t>
            </w:r>
            <w:proofErr w:type="gramEnd"/>
          </w:p>
          <w:p w14:paraId="58204DD0" w14:textId="77777777" w:rsidR="00C04F3E" w:rsidRPr="00C04F3E" w:rsidRDefault="00C04F3E" w:rsidP="00C04F3E">
            <w:pPr>
              <w:pStyle w:val="B1"/>
              <w:rPr>
                <w:rFonts w:cs="Times New Roman"/>
              </w:rPr>
            </w:pPr>
            <w:r w:rsidRPr="00C04F3E">
              <w:rPr>
                <w:rFonts w:cs="Times New Roman"/>
              </w:rPr>
              <w:t>-</w:t>
            </w:r>
            <w:r w:rsidRPr="00C04F3E">
              <w:rPr>
                <w:rFonts w:cs="Times New Roman"/>
              </w:rPr>
              <w:tab/>
              <w:t>it is no earlier than the summation of</w:t>
            </w:r>
          </w:p>
          <w:p w14:paraId="6A561999" w14:textId="77777777" w:rsidR="00C04F3E" w:rsidRPr="008A34D7" w:rsidRDefault="00C04F3E" w:rsidP="00C04F3E">
            <w:pPr>
              <w:pStyle w:val="B2"/>
              <w:rPr>
                <w:rFonts w:cs="Times New Roman"/>
                <w:highlight w:val="yellow"/>
              </w:rPr>
            </w:pPr>
            <w:r w:rsidRPr="008A34D7">
              <w:rPr>
                <w:rFonts w:cs="Times New Roman"/>
                <w:highlight w:val="yellow"/>
              </w:rPr>
              <w:lastRenderedPageBreak/>
              <w:t>-</w:t>
            </w:r>
            <w:r w:rsidRPr="008A34D7">
              <w:rPr>
                <w:rFonts w:cs="Times New Roman"/>
                <w:highlight w:val="yellow"/>
              </w:rPr>
              <w:tab/>
              <w:t xml:space="preserve">the maximum time duration between the two durations spanned by N OFDM symbols of the numerology of cell </w:t>
            </w:r>
            <w:r w:rsidRPr="008A34D7">
              <w:rPr>
                <w:rFonts w:cs="Times New Roman"/>
                <w:i/>
                <w:highlight w:val="yellow"/>
              </w:rPr>
              <w:t>c</w:t>
            </w:r>
            <w:r w:rsidRPr="008A34D7">
              <w:rPr>
                <w:rFonts w:cs="Times New Roman"/>
                <w:highlight w:val="yellow"/>
              </w:rPr>
              <w:t xml:space="preserve"> and the cell carrying the grant respectively, and</w:t>
            </w:r>
          </w:p>
          <w:p w14:paraId="0420F826" w14:textId="77777777" w:rsidR="00C04F3E" w:rsidRPr="00C04F3E" w:rsidRDefault="00C04F3E" w:rsidP="00C04F3E">
            <w:pPr>
              <w:pStyle w:val="B2"/>
              <w:rPr>
                <w:rFonts w:cs="Times New Roman"/>
                <w:i/>
              </w:rPr>
            </w:pPr>
            <w:r w:rsidRPr="008A34D7">
              <w:rPr>
                <w:rFonts w:cs="Times New Roman"/>
                <w:highlight w:val="yellow"/>
              </w:rPr>
              <w:t>-</w:t>
            </w:r>
            <w:r w:rsidRPr="008A34D7">
              <w:rPr>
                <w:rFonts w:cs="Times New Roman"/>
                <w:highlight w:val="yellow"/>
              </w:rPr>
              <w:tab/>
              <w:t xml:space="preserve">the UL or DL RF retuning time [11, TS 38.133] as defined by higher layer parameters </w:t>
            </w:r>
            <w:proofErr w:type="spellStart"/>
            <w:r w:rsidRPr="008A34D7">
              <w:rPr>
                <w:rFonts w:cs="Times New Roman"/>
                <w:i/>
                <w:highlight w:val="yellow"/>
              </w:rPr>
              <w:t>switchingTimeUL</w:t>
            </w:r>
            <w:proofErr w:type="spellEnd"/>
            <w:r w:rsidRPr="008A34D7">
              <w:rPr>
                <w:rFonts w:cs="Times New Roman"/>
                <w:color w:val="000000"/>
                <w:highlight w:val="yellow"/>
              </w:rPr>
              <w:t xml:space="preserve"> and </w:t>
            </w:r>
            <w:proofErr w:type="spellStart"/>
            <w:r w:rsidRPr="008A34D7">
              <w:rPr>
                <w:rFonts w:cs="Times New Roman"/>
                <w:i/>
                <w:highlight w:val="yellow"/>
              </w:rPr>
              <w:t>switchingTimeDL</w:t>
            </w:r>
            <w:proofErr w:type="spellEnd"/>
            <w:r w:rsidRPr="008A34D7">
              <w:rPr>
                <w:rFonts w:cs="Times New Roman"/>
                <w:color w:val="000000"/>
                <w:highlight w:val="yellow"/>
              </w:rPr>
              <w:t xml:space="preserve"> of </w:t>
            </w:r>
            <w:r w:rsidRPr="008A34D7">
              <w:rPr>
                <w:rFonts w:cs="Times New Roman"/>
                <w:i/>
                <w:color w:val="000000"/>
                <w:highlight w:val="yellow"/>
              </w:rPr>
              <w:t>SRS-</w:t>
            </w:r>
            <w:proofErr w:type="spellStart"/>
            <w:r w:rsidRPr="008A34D7">
              <w:rPr>
                <w:rFonts w:cs="Times New Roman"/>
                <w:i/>
                <w:color w:val="000000"/>
                <w:highlight w:val="yellow"/>
              </w:rPr>
              <w:t>SwitchingTimeNR</w:t>
            </w:r>
            <w:proofErr w:type="spellEnd"/>
            <w:r w:rsidRPr="008A34D7">
              <w:rPr>
                <w:rFonts w:cs="Times New Roman"/>
                <w:i/>
                <w:highlight w:val="yellow"/>
              </w:rPr>
              <w:t>,</w:t>
            </w:r>
          </w:p>
          <w:p w14:paraId="7FDC7D0D" w14:textId="77777777" w:rsidR="00C04F3E" w:rsidRPr="00C04F3E" w:rsidRDefault="00C04F3E" w:rsidP="00C04F3E">
            <w:pPr>
              <w:pStyle w:val="B1"/>
              <w:rPr>
                <w:rFonts w:cs="Times New Roman"/>
              </w:rPr>
            </w:pPr>
            <w:r w:rsidRPr="00C04F3E">
              <w:rPr>
                <w:rFonts w:cs="Times New Roman"/>
              </w:rPr>
              <w:t>-</w:t>
            </w:r>
            <w:r w:rsidRPr="00C04F3E">
              <w:rPr>
                <w:rFonts w:cs="Times New Roman"/>
              </w:rPr>
              <w:tab/>
              <w:t xml:space="preserve">it does not collide with any previous SRS transmissions, or interruption due to UL or DL RF retuning time, except if the previous SRS transmission is in the same cell </w:t>
            </w:r>
            <w:r w:rsidRPr="00C04F3E">
              <w:rPr>
                <w:rFonts w:cs="Times New Roman"/>
                <w:i/>
                <w:iCs/>
              </w:rPr>
              <w:t>c</w:t>
            </w:r>
            <w:r w:rsidRPr="00C04F3E">
              <w:rPr>
                <w:rFonts w:cs="Times New Roman"/>
              </w:rPr>
              <w:t xml:space="preserve"> and the UE reports </w:t>
            </w:r>
            <w:r w:rsidRPr="00C04F3E">
              <w:rPr>
                <w:rFonts w:cs="Times New Roman"/>
                <w:i/>
                <w:iCs/>
              </w:rPr>
              <w:t>SRS-</w:t>
            </w:r>
            <w:proofErr w:type="spellStart"/>
            <w:r w:rsidRPr="00C04F3E">
              <w:rPr>
                <w:rFonts w:cs="Times New Roman"/>
                <w:i/>
                <w:iCs/>
              </w:rPr>
              <w:t>StayInTargetCC</w:t>
            </w:r>
            <w:proofErr w:type="spellEnd"/>
            <w:r w:rsidRPr="00C04F3E">
              <w:rPr>
                <w:rFonts w:cs="Times New Roman"/>
                <w:i/>
                <w:iCs/>
              </w:rPr>
              <w:t xml:space="preserve"> </w:t>
            </w:r>
            <w:r w:rsidRPr="00C04F3E">
              <w:rPr>
                <w:rFonts w:cs="Times New Roman"/>
              </w:rPr>
              <w:t>for the corresponding band combination.</w:t>
            </w:r>
          </w:p>
          <w:p w14:paraId="3CD5B489" w14:textId="6B9215A6" w:rsidR="00C04F3E" w:rsidRPr="00C04F3E" w:rsidRDefault="00C04F3E" w:rsidP="00C04F3E">
            <w:pPr>
              <w:pStyle w:val="B1"/>
            </w:pPr>
            <w:r w:rsidRPr="00C04F3E">
              <w:rPr>
                <w:rFonts w:cs="Times New Roman"/>
              </w:rPr>
              <w:t xml:space="preserve">otherwise, </w:t>
            </w:r>
            <w:r w:rsidRPr="00C04F3E">
              <w:rPr>
                <w:rFonts w:cs="Times New Roman"/>
                <w:i/>
              </w:rPr>
              <w:t>n</w:t>
            </w:r>
            <w:r w:rsidRPr="00C04F3E">
              <w:rPr>
                <w:rFonts w:cs="Times New Roman"/>
              </w:rPr>
              <w:t>-</w:t>
            </w:r>
            <w:proofErr w:type="spellStart"/>
            <w:r w:rsidRPr="00C04F3E">
              <w:rPr>
                <w:rFonts w:cs="Times New Roman"/>
              </w:rPr>
              <w:t>th</w:t>
            </w:r>
            <w:proofErr w:type="spellEnd"/>
            <w:r w:rsidRPr="00C04F3E">
              <w:rPr>
                <w:rFonts w:cs="Times New Roman"/>
              </w:rPr>
              <w:t xml:space="preserve"> SRS transmission is dropped</w:t>
            </w:r>
            <w:r w:rsidRPr="008A34D7">
              <w:rPr>
                <w:rFonts w:cs="Times New Roman"/>
              </w:rPr>
              <w:t>, where N is the reported capability as the minimum time interval in unit of symbols, between the DCI triggering and aperiodic SRS transmission.</w:t>
            </w:r>
          </w:p>
        </w:tc>
      </w:tr>
    </w:tbl>
    <w:p w14:paraId="7561561C" w14:textId="2DEFACEA" w:rsidR="00C04F3E" w:rsidRDefault="00C04F3E" w:rsidP="0065742C">
      <w:pPr>
        <w:pStyle w:val="ListBullet"/>
        <w:numPr>
          <w:ilvl w:val="0"/>
          <w:numId w:val="0"/>
        </w:numPr>
        <w:rPr>
          <w:lang w:val="en-GB"/>
        </w:rPr>
      </w:pPr>
    </w:p>
    <w:p w14:paraId="2D7C9CDA" w14:textId="2E88D5A5" w:rsidR="0065742C" w:rsidRPr="00904BE5" w:rsidRDefault="00904BE5" w:rsidP="00D635D5">
      <w:pPr>
        <w:pStyle w:val="ListBullet"/>
        <w:numPr>
          <w:ilvl w:val="0"/>
          <w:numId w:val="0"/>
        </w:numPr>
        <w:spacing w:after="0"/>
        <w:jc w:val="left"/>
        <w:rPr>
          <w:b/>
          <w:bCs/>
          <w:u w:val="single"/>
          <w:lang w:val="en-GB"/>
        </w:rPr>
      </w:pPr>
      <w:r w:rsidRPr="00904BE5">
        <w:rPr>
          <w:b/>
          <w:bCs/>
          <w:u w:val="single"/>
          <w:lang w:val="en-GB"/>
        </w:rPr>
        <w:t xml:space="preserve">Observation </w:t>
      </w:r>
      <w:r w:rsidR="00F27C39">
        <w:rPr>
          <w:b/>
          <w:bCs/>
          <w:u w:val="single"/>
          <w:lang w:val="en-GB"/>
        </w:rPr>
        <w:t>2.</w:t>
      </w:r>
      <w:r w:rsidR="00CE0920">
        <w:rPr>
          <w:b/>
          <w:bCs/>
          <w:u w:val="single"/>
          <w:lang w:val="en-GB"/>
        </w:rPr>
        <w:t>3</w:t>
      </w:r>
      <w:r w:rsidRPr="00904BE5">
        <w:rPr>
          <w:b/>
          <w:bCs/>
          <w:u w:val="single"/>
          <w:lang w:val="en-GB"/>
        </w:rPr>
        <w:t>:</w:t>
      </w:r>
    </w:p>
    <w:p w14:paraId="53CF3EFD" w14:textId="6055A221" w:rsidR="00904BE5" w:rsidRDefault="00F1267C" w:rsidP="006B7E78">
      <w:pPr>
        <w:pStyle w:val="ListBullet"/>
        <w:numPr>
          <w:ilvl w:val="0"/>
          <w:numId w:val="29"/>
        </w:numPr>
        <w:spacing w:after="0"/>
        <w:rPr>
          <w:lang w:val="en-GB"/>
        </w:rPr>
      </w:pPr>
      <w:r>
        <w:rPr>
          <w:lang w:val="en-GB"/>
        </w:rPr>
        <w:t xml:space="preserve">In our understanding, </w:t>
      </w:r>
      <w:r w:rsidR="00904BE5">
        <w:rPr>
          <w:lang w:val="en-GB"/>
        </w:rPr>
        <w:t xml:space="preserve">SRS carrier switching timing as </w:t>
      </w:r>
      <w:r w:rsidR="00B85F3F">
        <w:rPr>
          <w:lang w:val="en-GB"/>
        </w:rPr>
        <w:t xml:space="preserve">presently </w:t>
      </w:r>
      <w:r w:rsidR="00904BE5">
        <w:rPr>
          <w:lang w:val="en-GB"/>
        </w:rPr>
        <w:t xml:space="preserve">specified in 38.214 section 6.2.1.3 </w:t>
      </w:r>
      <w:r w:rsidR="008A34D7">
        <w:rPr>
          <w:lang w:val="en-GB"/>
        </w:rPr>
        <w:t xml:space="preserve">is compatible with available slot operation, </w:t>
      </w:r>
      <w:proofErr w:type="gramStart"/>
      <w:r w:rsidR="008A34D7">
        <w:rPr>
          <w:lang w:val="en-GB"/>
        </w:rPr>
        <w:t>as long as</w:t>
      </w:r>
      <w:proofErr w:type="gramEnd"/>
      <w:r w:rsidR="008A34D7">
        <w:rPr>
          <w:lang w:val="en-GB"/>
        </w:rPr>
        <w:t xml:space="preserve"> at most one available slot offset is configured </w:t>
      </w:r>
      <w:r w:rsidR="008651FF">
        <w:rPr>
          <w:lang w:val="en-GB"/>
        </w:rPr>
        <w:t xml:space="preserve">per </w:t>
      </w:r>
      <w:r w:rsidR="005A0EF1">
        <w:rPr>
          <w:lang w:val="en-GB"/>
        </w:rPr>
        <w:t>SRS resource set</w:t>
      </w:r>
      <w:r w:rsidR="00904BE5">
        <w:rPr>
          <w:lang w:val="en-GB"/>
        </w:rPr>
        <w:t>.</w:t>
      </w:r>
    </w:p>
    <w:p w14:paraId="38FB269D" w14:textId="11CF7132" w:rsidR="00F1267C" w:rsidRDefault="00F1267C" w:rsidP="00904BE5">
      <w:pPr>
        <w:pStyle w:val="ListBullet"/>
        <w:numPr>
          <w:ilvl w:val="0"/>
          <w:numId w:val="29"/>
        </w:numPr>
        <w:rPr>
          <w:lang w:val="en-GB"/>
        </w:rPr>
      </w:pPr>
      <w:r>
        <w:rPr>
          <w:lang w:val="en-GB"/>
        </w:rPr>
        <w:t>Discussions in RAN1#114bis and #115 did not reach consensus on whether available slot operation with SRS carrier switching is presently supported or not.</w:t>
      </w:r>
    </w:p>
    <w:p w14:paraId="2B546D95" w14:textId="77777777" w:rsidR="00F1267C" w:rsidRDefault="00F1267C" w:rsidP="00F1267C">
      <w:pPr>
        <w:pStyle w:val="ListBullet"/>
        <w:numPr>
          <w:ilvl w:val="0"/>
          <w:numId w:val="0"/>
        </w:numPr>
        <w:rPr>
          <w:lang w:val="en-GB"/>
        </w:rPr>
      </w:pPr>
    </w:p>
    <w:p w14:paraId="40A78D0D" w14:textId="110C98F3" w:rsidR="00F1267C" w:rsidRDefault="00F1267C">
      <w:pPr>
        <w:pStyle w:val="ListBullet"/>
        <w:numPr>
          <w:ilvl w:val="0"/>
          <w:numId w:val="0"/>
        </w:numPr>
        <w:rPr>
          <w:lang w:val="en-GB"/>
        </w:rPr>
      </w:pPr>
      <w:proofErr w:type="gramStart"/>
      <w:r>
        <w:rPr>
          <w:lang w:val="en-GB"/>
        </w:rPr>
        <w:t>In order to</w:t>
      </w:r>
      <w:proofErr w:type="gramEnd"/>
      <w:r>
        <w:rPr>
          <w:lang w:val="en-GB"/>
        </w:rPr>
        <w:t xml:space="preserve"> have common understanding among companies, we propose the following:</w:t>
      </w:r>
    </w:p>
    <w:p w14:paraId="204A266B" w14:textId="3940E623" w:rsidR="00F1267C" w:rsidRPr="00937A23" w:rsidRDefault="00F1267C" w:rsidP="00F1267C">
      <w:pPr>
        <w:spacing w:after="0"/>
        <w:rPr>
          <w:b/>
          <w:bCs/>
          <w:u w:val="single"/>
        </w:rPr>
      </w:pPr>
      <w:r w:rsidRPr="00937A23">
        <w:rPr>
          <w:b/>
          <w:bCs/>
          <w:u w:val="single"/>
        </w:rPr>
        <w:t>Proposal</w:t>
      </w:r>
      <w:r>
        <w:rPr>
          <w:b/>
          <w:bCs/>
          <w:u w:val="single"/>
        </w:rPr>
        <w:t xml:space="preserve"> 2.</w:t>
      </w:r>
      <w:r w:rsidR="00A54B3E">
        <w:rPr>
          <w:b/>
          <w:bCs/>
          <w:u w:val="single"/>
        </w:rPr>
        <w:t>3</w:t>
      </w:r>
      <w:r w:rsidRPr="00937A23">
        <w:rPr>
          <w:b/>
          <w:bCs/>
          <w:u w:val="single"/>
        </w:rPr>
        <w:t>:</w:t>
      </w:r>
    </w:p>
    <w:p w14:paraId="57B09908" w14:textId="1D3B5268" w:rsidR="00F1267C" w:rsidRPr="00F1267C" w:rsidRDefault="00F1267C" w:rsidP="00F1267C">
      <w:pPr>
        <w:pStyle w:val="ListParagraph"/>
        <w:numPr>
          <w:ilvl w:val="0"/>
          <w:numId w:val="36"/>
        </w:numPr>
        <w:rPr>
          <w:rFonts w:cs="Arial"/>
          <w:szCs w:val="20"/>
        </w:rPr>
      </w:pPr>
      <w:r w:rsidRPr="00F1267C">
        <w:rPr>
          <w:rFonts w:cs="Arial"/>
          <w:szCs w:val="20"/>
          <w:lang w:val="en-US"/>
        </w:rPr>
        <w:t xml:space="preserve">Conclude </w:t>
      </w:r>
      <w:r w:rsidRPr="00F1267C">
        <w:rPr>
          <w:rFonts w:cs="Arial"/>
          <w:szCs w:val="20"/>
        </w:rPr>
        <w:t xml:space="preserve">in RAN1#116 if </w:t>
      </w:r>
      <w:r w:rsidRPr="00F1267C">
        <w:rPr>
          <w:rFonts w:ascii="Arial" w:hAnsi="Arial" w:cs="Arial"/>
          <w:sz w:val="20"/>
          <w:szCs w:val="20"/>
          <w:lang w:val="en-US"/>
        </w:rPr>
        <w:t>available slot operation with SRS carrier switching is presently supported or not</w:t>
      </w:r>
      <w:r w:rsidRPr="00F1267C">
        <w:rPr>
          <w:rFonts w:cs="Arial"/>
          <w:szCs w:val="20"/>
        </w:rPr>
        <w:t>.</w:t>
      </w:r>
    </w:p>
    <w:p w14:paraId="37EB5693" w14:textId="77777777" w:rsidR="00C01F33" w:rsidRPr="00CE0424" w:rsidRDefault="00C01F33" w:rsidP="00CE0424">
      <w:pPr>
        <w:pStyle w:val="Heading1"/>
      </w:pPr>
      <w:r w:rsidRPr="00CE0424">
        <w:t>Conclusion</w:t>
      </w:r>
    </w:p>
    <w:p w14:paraId="6584278B" w14:textId="488E15A7" w:rsidR="008E065E" w:rsidRDefault="008B33A7" w:rsidP="009706B4">
      <w:pPr>
        <w:pStyle w:val="BodyText"/>
      </w:pPr>
      <w:r>
        <w:t xml:space="preserve">In this contribution, we have considered </w:t>
      </w:r>
      <w:r w:rsidR="00887493">
        <w:t xml:space="preserve">open issues for SRS carrier switching including operation with more than two SRS resource sets, triggering by more than one DCI, and </w:t>
      </w:r>
      <w:r w:rsidR="00887493" w:rsidRPr="00887493">
        <w:t>if SRS carrier switching supports Rel-17 available slots for SRS</w:t>
      </w:r>
      <w:r w:rsidR="00887493">
        <w:t>.</w:t>
      </w:r>
      <w:r>
        <w:t xml:space="preserve">  </w:t>
      </w:r>
      <w:r w:rsidR="00B37649">
        <w:t>Our observations and proposals can be summarized:</w:t>
      </w:r>
    </w:p>
    <w:p w14:paraId="70AE79A4" w14:textId="742DBC40" w:rsidR="006C2F1E" w:rsidRDefault="006C2F1E" w:rsidP="009706B4">
      <w:pPr>
        <w:pStyle w:val="BodyText"/>
        <w:rPr>
          <w:b/>
          <w:bCs/>
        </w:rPr>
      </w:pPr>
    </w:p>
    <w:p w14:paraId="7E1B69F4" w14:textId="32D52525" w:rsidR="00A4127B" w:rsidRPr="006B7E78" w:rsidRDefault="00A4127B" w:rsidP="009706B4">
      <w:pPr>
        <w:pStyle w:val="BodyText"/>
        <w:rPr>
          <w:b/>
          <w:bCs/>
          <w:u w:val="single"/>
        </w:rPr>
      </w:pPr>
      <w:r w:rsidRPr="006B7E78">
        <w:rPr>
          <w:b/>
          <w:bCs/>
          <w:u w:val="single"/>
        </w:rPr>
        <w:t xml:space="preserve">More than 2 SRS resources </w:t>
      </w:r>
      <w:proofErr w:type="gramStart"/>
      <w:r w:rsidRPr="006B7E78">
        <w:rPr>
          <w:b/>
          <w:bCs/>
          <w:u w:val="single"/>
        </w:rPr>
        <w:t>sets</w:t>
      </w:r>
      <w:proofErr w:type="gramEnd"/>
    </w:p>
    <w:p w14:paraId="7D8F8279" w14:textId="77777777" w:rsidR="00AE0E5D" w:rsidRPr="006B7E78" w:rsidRDefault="00AE0E5D" w:rsidP="00A4127B">
      <w:pPr>
        <w:spacing w:after="0"/>
        <w:rPr>
          <w:szCs w:val="20"/>
        </w:rPr>
      </w:pPr>
    </w:p>
    <w:p w14:paraId="723A7822" w14:textId="2581BF2A" w:rsidR="00A4127B" w:rsidRPr="006B7E78" w:rsidRDefault="00A4127B" w:rsidP="00A4127B">
      <w:pPr>
        <w:spacing w:after="0"/>
        <w:rPr>
          <w:szCs w:val="20"/>
          <w:u w:val="single"/>
        </w:rPr>
      </w:pPr>
      <w:r w:rsidRPr="006B7E78">
        <w:rPr>
          <w:szCs w:val="20"/>
          <w:u w:val="single"/>
        </w:rPr>
        <w:t>Observation 2.1:</w:t>
      </w:r>
    </w:p>
    <w:p w14:paraId="481F99ED" w14:textId="77777777" w:rsidR="00A4127B" w:rsidRPr="004D56B7" w:rsidRDefault="00A4127B" w:rsidP="00A4127B">
      <w:pPr>
        <w:pStyle w:val="ListParagraph"/>
        <w:numPr>
          <w:ilvl w:val="0"/>
          <w:numId w:val="36"/>
        </w:numPr>
        <w:rPr>
          <w:rFonts w:ascii="Arial" w:hAnsi="Arial" w:cs="Arial"/>
          <w:sz w:val="20"/>
          <w:szCs w:val="20"/>
        </w:rPr>
      </w:pPr>
      <w:r w:rsidRPr="004D56B7">
        <w:rPr>
          <w:rFonts w:ascii="Arial" w:hAnsi="Arial" w:cs="Arial"/>
          <w:sz w:val="20"/>
          <w:szCs w:val="20"/>
        </w:rPr>
        <w:t xml:space="preserve">Whether Rel-17 antenna switching configurations with more than two SRS resource sets should be added for SRS carrier switching has been discussed for </w:t>
      </w:r>
      <w:r w:rsidRPr="00911DB7">
        <w:rPr>
          <w:rFonts w:ascii="Arial" w:hAnsi="Arial" w:cs="Arial"/>
          <w:sz w:val="20"/>
          <w:szCs w:val="20"/>
        </w:rPr>
        <w:t>3</w:t>
      </w:r>
      <w:r w:rsidRPr="004D56B7">
        <w:rPr>
          <w:rFonts w:ascii="Arial" w:hAnsi="Arial" w:cs="Arial"/>
          <w:sz w:val="20"/>
          <w:szCs w:val="20"/>
        </w:rPr>
        <w:t xml:space="preserve"> meetings.</w:t>
      </w:r>
    </w:p>
    <w:p w14:paraId="7F60F063" w14:textId="77777777" w:rsidR="00A4127B" w:rsidRPr="004D56B7" w:rsidRDefault="00A4127B" w:rsidP="00A4127B">
      <w:pPr>
        <w:pStyle w:val="ListParagraph"/>
        <w:numPr>
          <w:ilvl w:val="0"/>
          <w:numId w:val="36"/>
        </w:numPr>
        <w:rPr>
          <w:rFonts w:ascii="Arial" w:hAnsi="Arial" w:cs="Arial"/>
          <w:sz w:val="20"/>
          <w:szCs w:val="20"/>
        </w:rPr>
      </w:pPr>
      <w:r>
        <w:rPr>
          <w:rFonts w:ascii="Arial" w:hAnsi="Arial" w:cs="Arial"/>
          <w:sz w:val="20"/>
          <w:szCs w:val="20"/>
          <w:lang w:val="en-US"/>
        </w:rPr>
        <w:t xml:space="preserve">There has been both consistent interest and concern expressed on specifying </w:t>
      </w:r>
      <w:r w:rsidRPr="004D56B7">
        <w:rPr>
          <w:rFonts w:ascii="Arial" w:hAnsi="Arial" w:cs="Arial"/>
          <w:sz w:val="20"/>
          <w:szCs w:val="20"/>
        </w:rPr>
        <w:t>more than two SRS resource sets for SRS carrier switching.</w:t>
      </w:r>
    </w:p>
    <w:p w14:paraId="44F2F742" w14:textId="77777777" w:rsidR="00A4127B" w:rsidRPr="004D56B7" w:rsidRDefault="00A4127B" w:rsidP="00A4127B">
      <w:pPr>
        <w:pStyle w:val="ListParagraph"/>
        <w:numPr>
          <w:ilvl w:val="0"/>
          <w:numId w:val="36"/>
        </w:numPr>
        <w:rPr>
          <w:rFonts w:ascii="Arial" w:hAnsi="Arial" w:cs="Arial"/>
          <w:sz w:val="20"/>
          <w:szCs w:val="20"/>
        </w:rPr>
      </w:pPr>
      <w:r>
        <w:rPr>
          <w:rFonts w:ascii="Arial" w:hAnsi="Arial" w:cs="Arial"/>
          <w:sz w:val="20"/>
          <w:szCs w:val="20"/>
          <w:lang w:val="en-US"/>
        </w:rPr>
        <w:t>Companies</w:t>
      </w:r>
      <w:r w:rsidRPr="004D56B7">
        <w:rPr>
          <w:rFonts w:ascii="Arial" w:hAnsi="Arial" w:cs="Arial"/>
          <w:sz w:val="20"/>
          <w:szCs w:val="20"/>
        </w:rPr>
        <w:t xml:space="preserve"> are free to propose more than two SRS resource sets either as a TEI or in future work items.</w:t>
      </w:r>
    </w:p>
    <w:p w14:paraId="38046B08" w14:textId="77777777" w:rsidR="00A4127B" w:rsidRDefault="00A4127B" w:rsidP="00A4127B"/>
    <w:p w14:paraId="6D019E32" w14:textId="08042219" w:rsidR="00AE0E5D" w:rsidRDefault="00AE0E5D" w:rsidP="00A4127B">
      <w:r>
        <w:t>Since the specs are clear, there is no need to have a formal conclusion in our view, although a conclusion would also be fine.  However, this issue should somehow be closed so we can move on.</w:t>
      </w:r>
    </w:p>
    <w:p w14:paraId="1C8AD365" w14:textId="77777777" w:rsidR="00A4127B" w:rsidRPr="006B7E78" w:rsidRDefault="00A4127B" w:rsidP="00A4127B">
      <w:pPr>
        <w:spacing w:after="0"/>
        <w:rPr>
          <w:u w:val="single"/>
        </w:rPr>
      </w:pPr>
      <w:r w:rsidRPr="006B7E78">
        <w:rPr>
          <w:u w:val="single"/>
        </w:rPr>
        <w:t>Proposal 2.1</w:t>
      </w:r>
    </w:p>
    <w:p w14:paraId="14DC9A18" w14:textId="77777777" w:rsidR="00A4127B" w:rsidRPr="004D56B7" w:rsidRDefault="00A4127B" w:rsidP="00A4127B">
      <w:pPr>
        <w:pStyle w:val="ListParagraph"/>
        <w:numPr>
          <w:ilvl w:val="0"/>
          <w:numId w:val="36"/>
        </w:numPr>
        <w:rPr>
          <w:rFonts w:ascii="Arial" w:hAnsi="Arial" w:cs="Arial"/>
          <w:sz w:val="20"/>
          <w:szCs w:val="20"/>
        </w:rPr>
      </w:pPr>
      <w:r w:rsidRPr="004D56B7">
        <w:rPr>
          <w:rFonts w:ascii="Arial" w:hAnsi="Arial" w:cs="Arial"/>
          <w:sz w:val="20"/>
          <w:szCs w:val="20"/>
        </w:rPr>
        <w:t>If there is insufficient interest in RAN1#116 to support more than two SRS resource sets for SRS carrier switching, leave such enhancements to future TEIs or work items.</w:t>
      </w:r>
    </w:p>
    <w:p w14:paraId="011CA96A" w14:textId="77777777" w:rsidR="00A4127B" w:rsidRDefault="00A4127B" w:rsidP="009706B4">
      <w:pPr>
        <w:pStyle w:val="BodyText"/>
      </w:pPr>
    </w:p>
    <w:p w14:paraId="2400B306" w14:textId="3EC6521F" w:rsidR="001775BA" w:rsidRPr="006B7E78" w:rsidRDefault="001775BA" w:rsidP="006B7E78">
      <w:pPr>
        <w:pStyle w:val="BodyText"/>
        <w:keepNext/>
        <w:rPr>
          <w:b/>
          <w:bCs/>
          <w:u w:val="single"/>
        </w:rPr>
      </w:pPr>
      <w:r w:rsidRPr="006B7E78">
        <w:rPr>
          <w:b/>
          <w:bCs/>
          <w:u w:val="single"/>
        </w:rPr>
        <w:lastRenderedPageBreak/>
        <w:t>Triggering by more than one DCI</w:t>
      </w:r>
    </w:p>
    <w:p w14:paraId="045E4D6C" w14:textId="5D7A6BB0" w:rsidR="001775BA" w:rsidRDefault="006836FC" w:rsidP="006B7E78">
      <w:pPr>
        <w:pStyle w:val="BodyText"/>
        <w:keepNext/>
      </w:pPr>
      <w:r w:rsidRPr="006836FC">
        <w:t>Discussion on the need for new behavior or new UE capability to address where there are overlapping SRS carrier switching triggers by multiple DCIs continued in RAN1#</w:t>
      </w:r>
      <w:proofErr w:type="gramStart"/>
      <w:r w:rsidRPr="006836FC">
        <w:t>115</w:t>
      </w:r>
      <w:r>
        <w:t>, but</w:t>
      </w:r>
      <w:proofErr w:type="gramEnd"/>
      <w:r>
        <w:t xml:space="preserve"> did not conclude.  Our understanding and proposed way forward is as follows:</w:t>
      </w:r>
    </w:p>
    <w:p w14:paraId="7408CF9E" w14:textId="77777777" w:rsidR="001775BA" w:rsidRPr="006B7E78" w:rsidRDefault="001775BA" w:rsidP="001775BA">
      <w:pPr>
        <w:spacing w:after="0"/>
        <w:rPr>
          <w:szCs w:val="20"/>
          <w:u w:val="single"/>
        </w:rPr>
      </w:pPr>
      <w:r w:rsidRPr="006B7E78">
        <w:rPr>
          <w:szCs w:val="20"/>
          <w:u w:val="single"/>
        </w:rPr>
        <w:t>Observation 2.2:</w:t>
      </w:r>
    </w:p>
    <w:p w14:paraId="1111E3FA" w14:textId="5E0470C3" w:rsidR="001775BA" w:rsidRPr="00E83D6F" w:rsidRDefault="001775BA" w:rsidP="001775BA">
      <w:pPr>
        <w:pStyle w:val="ListParagraph"/>
        <w:numPr>
          <w:ilvl w:val="0"/>
          <w:numId w:val="36"/>
        </w:numPr>
        <w:rPr>
          <w:rFonts w:ascii="Arial" w:hAnsi="Arial" w:cs="Arial"/>
          <w:sz w:val="20"/>
          <w:szCs w:val="20"/>
        </w:rPr>
      </w:pPr>
      <w:r>
        <w:rPr>
          <w:rFonts w:ascii="Arial" w:hAnsi="Arial" w:cs="Arial"/>
          <w:sz w:val="20"/>
          <w:szCs w:val="20"/>
          <w:lang w:val="en-US"/>
        </w:rPr>
        <w:t xml:space="preserve">Multi-DCI </w:t>
      </w:r>
      <w:r w:rsidR="000A60FF">
        <w:rPr>
          <w:rFonts w:ascii="Arial" w:hAnsi="Arial" w:cs="Arial"/>
          <w:sz w:val="20"/>
          <w:szCs w:val="20"/>
          <w:lang w:val="en-US"/>
        </w:rPr>
        <w:t xml:space="preserve">timing and </w:t>
      </w:r>
      <w:r>
        <w:rPr>
          <w:rFonts w:ascii="Arial" w:hAnsi="Arial" w:cs="Arial"/>
          <w:sz w:val="20"/>
          <w:szCs w:val="20"/>
          <w:lang w:val="en-US"/>
        </w:rPr>
        <w:t>triggered SRS collision dropping rules seem to be defined in the current specifications, and so do not fall into the category of error cases in our understanding.</w:t>
      </w:r>
    </w:p>
    <w:p w14:paraId="76639FCB" w14:textId="77777777" w:rsidR="001775BA" w:rsidRPr="00E83D6F" w:rsidRDefault="001775BA" w:rsidP="001775BA">
      <w:pPr>
        <w:pStyle w:val="ListParagraph"/>
        <w:numPr>
          <w:ilvl w:val="0"/>
          <w:numId w:val="36"/>
        </w:numPr>
        <w:rPr>
          <w:rFonts w:ascii="Arial" w:hAnsi="Arial" w:cs="Arial"/>
          <w:sz w:val="20"/>
          <w:szCs w:val="20"/>
        </w:rPr>
      </w:pPr>
      <w:r>
        <w:rPr>
          <w:rFonts w:ascii="Arial" w:hAnsi="Arial" w:cs="Arial"/>
          <w:sz w:val="20"/>
          <w:szCs w:val="20"/>
          <w:lang w:val="en-US"/>
        </w:rPr>
        <w:t>Aperiodic SRS carrier switching does not seem to be constrained to be ‘in order’ in the current specifications, as is the case for aperiodic SRS transmission without switching where ‘in order’ is also not constrained.</w:t>
      </w:r>
    </w:p>
    <w:p w14:paraId="66F634DE" w14:textId="77777777" w:rsidR="001775BA" w:rsidRPr="00175BC9" w:rsidRDefault="001775BA" w:rsidP="001775BA">
      <w:pPr>
        <w:pStyle w:val="ListParagraph"/>
        <w:numPr>
          <w:ilvl w:val="1"/>
          <w:numId w:val="36"/>
        </w:numPr>
        <w:rPr>
          <w:rFonts w:ascii="Arial" w:hAnsi="Arial" w:cs="Arial"/>
          <w:sz w:val="20"/>
          <w:szCs w:val="20"/>
        </w:rPr>
      </w:pPr>
      <w:r>
        <w:rPr>
          <w:rFonts w:ascii="Arial" w:hAnsi="Arial" w:cs="Arial"/>
          <w:sz w:val="20"/>
          <w:szCs w:val="20"/>
          <w:lang w:val="en-US"/>
        </w:rPr>
        <w:t>However, if UE implementations require in order transmission, solutions to this can be further discussed.</w:t>
      </w:r>
    </w:p>
    <w:p w14:paraId="0E5707E3" w14:textId="77777777" w:rsidR="001775BA" w:rsidRDefault="001775BA" w:rsidP="001775BA">
      <w:pPr>
        <w:spacing w:after="0"/>
        <w:rPr>
          <w:b/>
          <w:bCs/>
          <w:u w:val="single"/>
        </w:rPr>
      </w:pPr>
    </w:p>
    <w:p w14:paraId="3BD63DC5" w14:textId="77777777" w:rsidR="001775BA" w:rsidRPr="006B7E78" w:rsidRDefault="001775BA" w:rsidP="001775BA">
      <w:pPr>
        <w:spacing w:after="0"/>
        <w:rPr>
          <w:u w:val="single"/>
        </w:rPr>
      </w:pPr>
      <w:r w:rsidRPr="006B7E78">
        <w:rPr>
          <w:u w:val="single"/>
        </w:rPr>
        <w:t>Proposal 2.2:</w:t>
      </w:r>
    </w:p>
    <w:p w14:paraId="250C9226" w14:textId="77777777" w:rsidR="001775BA" w:rsidRPr="006B7E78" w:rsidRDefault="001775BA" w:rsidP="001775BA">
      <w:pPr>
        <w:pStyle w:val="ListParagraph"/>
        <w:numPr>
          <w:ilvl w:val="0"/>
          <w:numId w:val="36"/>
        </w:numPr>
        <w:rPr>
          <w:rFonts w:ascii="Arial" w:hAnsi="Arial" w:cs="Arial"/>
          <w:sz w:val="20"/>
          <w:szCs w:val="20"/>
        </w:rPr>
      </w:pPr>
      <w:r w:rsidRPr="006B7E78">
        <w:rPr>
          <w:rFonts w:ascii="Arial" w:hAnsi="Arial" w:cs="Arial"/>
          <w:sz w:val="20"/>
          <w:szCs w:val="20"/>
        </w:rPr>
        <w:t xml:space="preserve">Decide in RAN1#116 if </w:t>
      </w:r>
      <w:r w:rsidRPr="005E3186">
        <w:rPr>
          <w:rFonts w:ascii="Arial" w:hAnsi="Arial" w:cs="Arial"/>
          <w:sz w:val="20"/>
          <w:szCs w:val="20"/>
          <w:lang w:val="en-US"/>
        </w:rPr>
        <w:t>solutions</w:t>
      </w:r>
      <w:r w:rsidRPr="006B7E78">
        <w:rPr>
          <w:rFonts w:ascii="Arial" w:hAnsi="Arial" w:cs="Arial"/>
          <w:sz w:val="20"/>
          <w:szCs w:val="20"/>
        </w:rPr>
        <w:t xml:space="preserve"> to ‘out of order’ aperiodic SRS carrier switching triggers are needed.</w:t>
      </w:r>
    </w:p>
    <w:p w14:paraId="68A04706" w14:textId="77777777" w:rsidR="001775BA" w:rsidRPr="006B7E78" w:rsidRDefault="001775BA" w:rsidP="009706B4">
      <w:pPr>
        <w:pStyle w:val="BodyText"/>
      </w:pPr>
    </w:p>
    <w:p w14:paraId="7D1A228E" w14:textId="74B63611" w:rsidR="00B37649" w:rsidRDefault="00B37649" w:rsidP="0080202B">
      <w:pPr>
        <w:pStyle w:val="ListBullet"/>
        <w:keepNext/>
        <w:numPr>
          <w:ilvl w:val="0"/>
          <w:numId w:val="0"/>
        </w:numPr>
        <w:rPr>
          <w:b/>
          <w:bCs/>
          <w:u w:val="single"/>
          <w:lang w:val="en-GB"/>
        </w:rPr>
      </w:pPr>
      <w:r>
        <w:rPr>
          <w:b/>
          <w:bCs/>
          <w:u w:val="single"/>
          <w:lang w:val="en-GB"/>
        </w:rPr>
        <w:t>On if SRS carrier switching supports Rel-17 available slots for SRS</w:t>
      </w:r>
    </w:p>
    <w:p w14:paraId="206B6968" w14:textId="55F04F57" w:rsidR="00523C6A" w:rsidRPr="0065400C" w:rsidRDefault="0065400C" w:rsidP="00D635D5">
      <w:pPr>
        <w:pStyle w:val="ListBullet"/>
        <w:numPr>
          <w:ilvl w:val="0"/>
          <w:numId w:val="0"/>
        </w:numPr>
        <w:spacing w:after="0"/>
        <w:jc w:val="left"/>
        <w:rPr>
          <w:lang w:val="en-GB"/>
        </w:rPr>
      </w:pPr>
      <w:r w:rsidRPr="0065400C">
        <w:rPr>
          <w:lang w:val="en-GB"/>
        </w:rPr>
        <w:t xml:space="preserve">During RAN1#114bis, it was also noticed that Rel-17 SRS supports available slot triggering, and whether this can apply to DCI 1_1/1_2 based SRS carrier switching </w:t>
      </w:r>
      <w:r>
        <w:rPr>
          <w:lang w:val="en-GB"/>
        </w:rPr>
        <w:t xml:space="preserve">was proposed to be </w:t>
      </w:r>
      <w:r w:rsidRPr="0065400C">
        <w:rPr>
          <w:lang w:val="en-GB"/>
        </w:rPr>
        <w:t>further discussed</w:t>
      </w:r>
      <w:r>
        <w:rPr>
          <w:lang w:val="en-GB"/>
        </w:rPr>
        <w:t xml:space="preserve"> </w:t>
      </w:r>
      <w:r w:rsidR="00880866">
        <w:rPr>
          <w:lang w:val="en-GB"/>
        </w:rPr>
        <w:t xml:space="preserve">again in RAN#115 </w:t>
      </w:r>
      <w:r>
        <w:rPr>
          <w:lang w:val="en-GB"/>
        </w:rPr>
        <w:fldChar w:fldCharType="begin"/>
      </w:r>
      <w:r>
        <w:rPr>
          <w:lang w:val="en-GB"/>
        </w:rPr>
        <w:instrText xml:space="preserve"> REF _Ref146564676 \r \h </w:instrText>
      </w:r>
      <w:r>
        <w:rPr>
          <w:lang w:val="en-GB"/>
        </w:rPr>
      </w:r>
      <w:r>
        <w:rPr>
          <w:lang w:val="en-GB"/>
        </w:rPr>
        <w:fldChar w:fldCharType="separate"/>
      </w:r>
      <w:r w:rsidR="006B7E78">
        <w:rPr>
          <w:lang w:val="en-GB"/>
        </w:rPr>
        <w:t>[2]</w:t>
      </w:r>
      <w:r>
        <w:rPr>
          <w:lang w:val="en-GB"/>
        </w:rPr>
        <w:fldChar w:fldCharType="end"/>
      </w:r>
      <w:r w:rsidRPr="0065400C">
        <w:rPr>
          <w:lang w:val="en-GB"/>
        </w:rPr>
        <w:t>.</w:t>
      </w:r>
      <w:r>
        <w:rPr>
          <w:lang w:val="en-GB"/>
        </w:rPr>
        <w:t xml:space="preserve">  </w:t>
      </w:r>
      <w:r w:rsidR="00880866">
        <w:rPr>
          <w:lang w:val="en-GB"/>
        </w:rPr>
        <w:t>Based on the further discussions in RAN1#115, we have the following observation:</w:t>
      </w:r>
      <w:r>
        <w:rPr>
          <w:lang w:val="en-GB"/>
        </w:rPr>
        <w:t xml:space="preserve"> </w:t>
      </w:r>
    </w:p>
    <w:p w14:paraId="317DC5A5" w14:textId="77777777" w:rsidR="0065400C" w:rsidRDefault="0065400C" w:rsidP="00D635D5">
      <w:pPr>
        <w:pStyle w:val="ListBullet"/>
        <w:numPr>
          <w:ilvl w:val="0"/>
          <w:numId w:val="0"/>
        </w:numPr>
        <w:spacing w:after="0"/>
        <w:jc w:val="left"/>
        <w:rPr>
          <w:u w:val="single"/>
          <w:lang w:val="en-GB"/>
        </w:rPr>
      </w:pPr>
    </w:p>
    <w:p w14:paraId="49E862D5" w14:textId="77777777" w:rsidR="00F54658" w:rsidRPr="006B7E78" w:rsidRDefault="00F54658" w:rsidP="00F54658">
      <w:pPr>
        <w:pStyle w:val="ListBullet"/>
        <w:numPr>
          <w:ilvl w:val="0"/>
          <w:numId w:val="0"/>
        </w:numPr>
        <w:spacing w:after="0"/>
        <w:jc w:val="left"/>
        <w:rPr>
          <w:u w:val="single"/>
          <w:lang w:val="en-GB"/>
        </w:rPr>
      </w:pPr>
      <w:r w:rsidRPr="006B7E78">
        <w:rPr>
          <w:u w:val="single"/>
          <w:lang w:val="en-GB"/>
        </w:rPr>
        <w:t>Observation 2.3:</w:t>
      </w:r>
    </w:p>
    <w:p w14:paraId="7324545A" w14:textId="77777777" w:rsidR="00F54658" w:rsidRDefault="00F54658" w:rsidP="00F54658">
      <w:pPr>
        <w:pStyle w:val="ListBullet"/>
        <w:numPr>
          <w:ilvl w:val="0"/>
          <w:numId w:val="29"/>
        </w:numPr>
        <w:spacing w:after="0"/>
        <w:rPr>
          <w:lang w:val="en-GB"/>
        </w:rPr>
      </w:pPr>
      <w:r>
        <w:rPr>
          <w:lang w:val="en-GB"/>
        </w:rPr>
        <w:t xml:space="preserve">In our understanding, SRS carrier switching timing as presently specified in 38.214 section 6.2.1.3 is compatible with available slot operation, </w:t>
      </w:r>
      <w:proofErr w:type="gramStart"/>
      <w:r>
        <w:rPr>
          <w:lang w:val="en-GB"/>
        </w:rPr>
        <w:t>as long as</w:t>
      </w:r>
      <w:proofErr w:type="gramEnd"/>
      <w:r>
        <w:rPr>
          <w:lang w:val="en-GB"/>
        </w:rPr>
        <w:t xml:space="preserve"> at most one available slot offset is configured per SRS resource set.</w:t>
      </w:r>
    </w:p>
    <w:p w14:paraId="53C4EBC4" w14:textId="77777777" w:rsidR="00F54658" w:rsidRDefault="00F54658" w:rsidP="00F54658">
      <w:pPr>
        <w:pStyle w:val="ListBullet"/>
        <w:numPr>
          <w:ilvl w:val="0"/>
          <w:numId w:val="29"/>
        </w:numPr>
        <w:rPr>
          <w:lang w:val="en-GB"/>
        </w:rPr>
      </w:pPr>
      <w:r>
        <w:rPr>
          <w:lang w:val="en-GB"/>
        </w:rPr>
        <w:t>Discussions in RAN1#114bis and #115 did not reach consensus on whether available slot operation with SRS carrier switching is presently supported or not.</w:t>
      </w:r>
    </w:p>
    <w:p w14:paraId="4495ADC5" w14:textId="77777777" w:rsidR="00F54658" w:rsidRDefault="00F54658" w:rsidP="00F54658">
      <w:pPr>
        <w:pStyle w:val="ListBullet"/>
        <w:numPr>
          <w:ilvl w:val="0"/>
          <w:numId w:val="0"/>
        </w:numPr>
        <w:rPr>
          <w:lang w:val="en-GB"/>
        </w:rPr>
      </w:pPr>
    </w:p>
    <w:p w14:paraId="3D384A2A" w14:textId="3CEB0530" w:rsidR="00F54658" w:rsidRDefault="00880866" w:rsidP="006B7E78">
      <w:pPr>
        <w:pStyle w:val="ListBullet"/>
        <w:numPr>
          <w:ilvl w:val="0"/>
          <w:numId w:val="0"/>
        </w:numPr>
        <w:rPr>
          <w:lang w:val="en-GB"/>
        </w:rPr>
      </w:pPr>
      <w:proofErr w:type="gramStart"/>
      <w:r>
        <w:rPr>
          <w:lang w:val="en-GB"/>
        </w:rPr>
        <w:t>I</w:t>
      </w:r>
      <w:r w:rsidR="00F54658">
        <w:rPr>
          <w:lang w:val="en-GB"/>
        </w:rPr>
        <w:t>n order to</w:t>
      </w:r>
      <w:proofErr w:type="gramEnd"/>
      <w:r w:rsidR="00F54658">
        <w:rPr>
          <w:lang w:val="en-GB"/>
        </w:rPr>
        <w:t xml:space="preserve"> have common understanding among companies, we propose the following:</w:t>
      </w:r>
    </w:p>
    <w:p w14:paraId="338200CE" w14:textId="77777777" w:rsidR="00F54658" w:rsidRPr="006B7E78" w:rsidRDefault="00F54658" w:rsidP="00F54658">
      <w:pPr>
        <w:spacing w:after="0"/>
        <w:rPr>
          <w:u w:val="single"/>
        </w:rPr>
      </w:pPr>
      <w:r w:rsidRPr="006B7E78">
        <w:rPr>
          <w:u w:val="single"/>
        </w:rPr>
        <w:t>Proposal 2.3:</w:t>
      </w:r>
    </w:p>
    <w:p w14:paraId="1D65A69F" w14:textId="77777777" w:rsidR="00F54658" w:rsidRPr="006B7E78" w:rsidRDefault="00F54658" w:rsidP="00F54658">
      <w:pPr>
        <w:pStyle w:val="ListParagraph"/>
        <w:numPr>
          <w:ilvl w:val="0"/>
          <w:numId w:val="36"/>
        </w:numPr>
        <w:rPr>
          <w:rFonts w:ascii="Arial" w:hAnsi="Arial" w:cs="Arial"/>
          <w:sz w:val="20"/>
          <w:szCs w:val="20"/>
        </w:rPr>
      </w:pPr>
      <w:r w:rsidRPr="006B7E78">
        <w:rPr>
          <w:rFonts w:ascii="Arial" w:hAnsi="Arial" w:cs="Arial"/>
          <w:sz w:val="20"/>
          <w:szCs w:val="20"/>
          <w:lang w:val="en-US"/>
        </w:rPr>
        <w:t xml:space="preserve">Conclude </w:t>
      </w:r>
      <w:r w:rsidRPr="006B7E78">
        <w:rPr>
          <w:rFonts w:ascii="Arial" w:hAnsi="Arial" w:cs="Arial"/>
          <w:sz w:val="20"/>
          <w:szCs w:val="20"/>
        </w:rPr>
        <w:t xml:space="preserve">in RAN1#116 if </w:t>
      </w:r>
      <w:r w:rsidRPr="00B12ECE">
        <w:rPr>
          <w:rFonts w:ascii="Arial" w:hAnsi="Arial" w:cs="Arial"/>
          <w:sz w:val="20"/>
          <w:szCs w:val="20"/>
          <w:lang w:val="en-US"/>
        </w:rPr>
        <w:t>available slot operation with SRS carrier switching is presently supported or not</w:t>
      </w:r>
      <w:r w:rsidRPr="006B7E78">
        <w:rPr>
          <w:rFonts w:ascii="Arial" w:hAnsi="Arial" w:cs="Arial"/>
          <w:sz w:val="20"/>
          <w:szCs w:val="20"/>
        </w:rPr>
        <w:t>.</w:t>
      </w:r>
    </w:p>
    <w:p w14:paraId="7758EC40" w14:textId="77777777" w:rsidR="00F1267C" w:rsidRDefault="00F1267C" w:rsidP="006C2F1E">
      <w:pPr>
        <w:rPr>
          <w:b/>
          <w:bCs/>
          <w:u w:val="single"/>
        </w:rPr>
      </w:pPr>
    </w:p>
    <w:p w14:paraId="71D79D99" w14:textId="77777777" w:rsidR="00F507D1" w:rsidRPr="00CE0424" w:rsidRDefault="00F507D1" w:rsidP="00CE0424">
      <w:pPr>
        <w:pStyle w:val="Heading1"/>
      </w:pPr>
      <w:bookmarkStart w:id="2" w:name="_In-sequence_SDU_delivery"/>
      <w:bookmarkEnd w:id="2"/>
      <w:r w:rsidRPr="00CE0424">
        <w:t>References</w:t>
      </w:r>
    </w:p>
    <w:p w14:paraId="3A77A44E" w14:textId="322E4EC9" w:rsidR="00A850BB" w:rsidRDefault="00132748" w:rsidP="003F1696">
      <w:pPr>
        <w:pStyle w:val="Reference"/>
      </w:pPr>
      <w:bookmarkStart w:id="3" w:name="_Ref174151459"/>
      <w:bookmarkStart w:id="4" w:name="_Ref189809556"/>
      <w:bookmarkStart w:id="5" w:name="_Ref146564714"/>
      <w:bookmarkStart w:id="6" w:name="_Ref157703904"/>
      <w:r w:rsidRPr="00132748">
        <w:t xml:space="preserve">Ericsson, T-Mobile USA, Verizon, Samsung </w:t>
      </w:r>
      <w:r w:rsidR="00B83F51" w:rsidRPr="00583EAF">
        <w:t>“</w:t>
      </w:r>
      <w:r w:rsidRPr="00132748">
        <w:t>R1-2312673</w:t>
      </w:r>
      <w:r w:rsidR="00B83F51" w:rsidRPr="00583EAF">
        <w:t xml:space="preserve">, </w:t>
      </w:r>
      <w:r w:rsidRPr="00132748">
        <w:t>Correction for SRS carrier switching for DCI formats 1_1 and 1_2</w:t>
      </w:r>
      <w:r w:rsidR="00B83F51" w:rsidRPr="00583EAF">
        <w:t>”, 3GPP TSG RAN1#11</w:t>
      </w:r>
      <w:r w:rsidR="00583EAF" w:rsidRPr="00583EAF">
        <w:t>5</w:t>
      </w:r>
      <w:r w:rsidR="00B83F51" w:rsidRPr="00583EAF">
        <w:t xml:space="preserve">, </w:t>
      </w:r>
      <w:bookmarkEnd w:id="3"/>
      <w:bookmarkEnd w:id="4"/>
      <w:bookmarkEnd w:id="5"/>
      <w:r w:rsidR="00583EAF" w:rsidRPr="00583EAF">
        <w:t>Chicago, USA, November 13th – November 17th, 2023.</w:t>
      </w:r>
      <w:bookmarkEnd w:id="6"/>
    </w:p>
    <w:p w14:paraId="044A083C" w14:textId="6518B1A6" w:rsidR="00DE5E02" w:rsidRDefault="00DE5E02" w:rsidP="00DE5E02">
      <w:pPr>
        <w:pStyle w:val="Reference"/>
      </w:pPr>
      <w:bookmarkStart w:id="7" w:name="_Ref146564676"/>
      <w:proofErr w:type="gramStart"/>
      <w:r>
        <w:t>Moderator(</w:t>
      </w:r>
      <w:proofErr w:type="gramEnd"/>
      <w:r w:rsidRPr="00B83F51">
        <w:t>Ericsson</w:t>
      </w:r>
      <w:r>
        <w:t>)</w:t>
      </w:r>
      <w:r w:rsidRPr="00B83F51">
        <w:t>, “</w:t>
      </w:r>
      <w:r>
        <w:t>R1-</w:t>
      </w:r>
      <w:r w:rsidRPr="006C2C26">
        <w:t>2310680</w:t>
      </w:r>
      <w:r w:rsidRPr="00B83F51">
        <w:t xml:space="preserve">, </w:t>
      </w:r>
      <w:r w:rsidRPr="00DE5E02">
        <w:t>Summary #2 of NR Rel-15/16 maintenance discussion for aperiodic triggering support for SRS carrier switching</w:t>
      </w:r>
      <w:r w:rsidRPr="00B83F51">
        <w:t xml:space="preserve">”, 3GPP TSG </w:t>
      </w:r>
      <w:r w:rsidRPr="00583EAF">
        <w:t>RAN1#115, Chicago, USA, November 13th – November 17th, 2023</w:t>
      </w:r>
      <w:r w:rsidRPr="00B83F51">
        <w:t>.</w:t>
      </w:r>
      <w:bookmarkEnd w:id="7"/>
    </w:p>
    <w:p w14:paraId="725A4CE1" w14:textId="678D3199" w:rsidR="00E213B3" w:rsidRPr="00CE0424" w:rsidRDefault="00E213B3" w:rsidP="008E6853">
      <w:pPr>
        <w:pStyle w:val="Reference"/>
      </w:pPr>
      <w:bookmarkStart w:id="8" w:name="_Ref158886171"/>
      <w:r>
        <w:t>Huawei</w:t>
      </w:r>
      <w:r w:rsidRPr="00E213B3">
        <w:t xml:space="preserve">, </w:t>
      </w:r>
      <w:r w:rsidR="00B10AE5" w:rsidRPr="00B10AE5">
        <w:t>HiSilicon</w:t>
      </w:r>
      <w:r w:rsidR="00B10AE5">
        <w:t>,</w:t>
      </w:r>
      <w:r w:rsidRPr="00E213B3">
        <w:t xml:space="preserve"> “R1-</w:t>
      </w:r>
      <w:r w:rsidR="00B10AE5" w:rsidRPr="00B10AE5">
        <w:t>2312228</w:t>
      </w:r>
      <w:r w:rsidRPr="00E213B3">
        <w:t xml:space="preserve">, </w:t>
      </w:r>
      <w:r w:rsidR="00B10AE5" w:rsidRPr="00B10AE5">
        <w:t>Discussion on DL DCI triggering for SRS carrier switching</w:t>
      </w:r>
      <w:r w:rsidRPr="00E213B3">
        <w:t>”, 3GPP TSG RAN1#115, Chicago, USA, November 13th – November 17th, 2023.</w:t>
      </w:r>
      <w:bookmarkEnd w:id="8"/>
    </w:p>
    <w:sectPr w:rsidR="00E213B3"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09E60" w14:textId="77777777" w:rsidR="007E7FAC" w:rsidRDefault="007E7FAC">
      <w:r>
        <w:separator/>
      </w:r>
    </w:p>
  </w:endnote>
  <w:endnote w:type="continuationSeparator" w:id="0">
    <w:p w14:paraId="198E3E61" w14:textId="77777777" w:rsidR="007E7FAC" w:rsidRDefault="007E7FAC">
      <w:r>
        <w:continuationSeparator/>
      </w:r>
    </w:p>
  </w:endnote>
  <w:endnote w:type="continuationNotice" w:id="1">
    <w:p w14:paraId="573E4312" w14:textId="77777777" w:rsidR="007E7FAC" w:rsidRDefault="007E7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4D67" w14:textId="77777777" w:rsidR="007E7FAC" w:rsidRDefault="007E7FAC">
      <w:r>
        <w:separator/>
      </w:r>
    </w:p>
  </w:footnote>
  <w:footnote w:type="continuationSeparator" w:id="0">
    <w:p w14:paraId="3D92AB58" w14:textId="77777777" w:rsidR="007E7FAC" w:rsidRDefault="007E7FAC">
      <w:r>
        <w:continuationSeparator/>
      </w:r>
    </w:p>
  </w:footnote>
  <w:footnote w:type="continuationNotice" w:id="1">
    <w:p w14:paraId="03A3DE4D" w14:textId="77777777" w:rsidR="007E7FAC" w:rsidRDefault="007E7F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0BC7B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486EE8"/>
    <w:multiLevelType w:val="hybridMultilevel"/>
    <w:tmpl w:val="3E966C3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854076"/>
    <w:multiLevelType w:val="hybridMultilevel"/>
    <w:tmpl w:val="863AC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E222D"/>
    <w:multiLevelType w:val="hybridMultilevel"/>
    <w:tmpl w:val="AADE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A656B"/>
    <w:multiLevelType w:val="multilevel"/>
    <w:tmpl w:val="FBDA8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8C76D9"/>
    <w:multiLevelType w:val="multilevel"/>
    <w:tmpl w:val="7E04B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D419AD"/>
    <w:multiLevelType w:val="hybridMultilevel"/>
    <w:tmpl w:val="525A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B76F2"/>
    <w:multiLevelType w:val="hybridMultilevel"/>
    <w:tmpl w:val="EDF2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187545">
    <w:abstractNumId w:val="4"/>
  </w:num>
  <w:num w:numId="2" w16cid:durableId="1609775619">
    <w:abstractNumId w:val="22"/>
  </w:num>
  <w:num w:numId="3" w16cid:durableId="833373595">
    <w:abstractNumId w:val="16"/>
  </w:num>
  <w:num w:numId="4" w16cid:durableId="2136631286">
    <w:abstractNumId w:val="17"/>
  </w:num>
  <w:num w:numId="5" w16cid:durableId="1923372078">
    <w:abstractNumId w:val="12"/>
  </w:num>
  <w:num w:numId="6" w16cid:durableId="1835074303">
    <w:abstractNumId w:val="20"/>
  </w:num>
  <w:num w:numId="7" w16cid:durableId="1395934195">
    <w:abstractNumId w:val="29"/>
  </w:num>
  <w:num w:numId="8" w16cid:durableId="1467620983">
    <w:abstractNumId w:val="13"/>
  </w:num>
  <w:num w:numId="9" w16cid:durableId="1421946636">
    <w:abstractNumId w:val="10"/>
  </w:num>
  <w:num w:numId="10" w16cid:durableId="639920608">
    <w:abstractNumId w:val="2"/>
  </w:num>
  <w:num w:numId="11" w16cid:durableId="811676846">
    <w:abstractNumId w:val="1"/>
  </w:num>
  <w:num w:numId="12" w16cid:durableId="447622583">
    <w:abstractNumId w:val="0"/>
  </w:num>
  <w:num w:numId="13" w16cid:durableId="1459760247">
    <w:abstractNumId w:val="23"/>
  </w:num>
  <w:num w:numId="14" w16cid:durableId="1270309174">
    <w:abstractNumId w:val="25"/>
  </w:num>
  <w:num w:numId="15" w16cid:durableId="1759251207">
    <w:abstractNumId w:val="18"/>
  </w:num>
  <w:num w:numId="16" w16cid:durableId="1315530660">
    <w:abstractNumId w:val="30"/>
  </w:num>
  <w:num w:numId="17" w16cid:durableId="82536163">
    <w:abstractNumId w:val="8"/>
  </w:num>
  <w:num w:numId="18" w16cid:durableId="1225288575">
    <w:abstractNumId w:val="9"/>
  </w:num>
  <w:num w:numId="19" w16cid:durableId="718633400">
    <w:abstractNumId w:val="6"/>
  </w:num>
  <w:num w:numId="20" w16cid:durableId="1965890076">
    <w:abstractNumId w:val="35"/>
  </w:num>
  <w:num w:numId="21" w16cid:durableId="639304901">
    <w:abstractNumId w:val="14"/>
  </w:num>
  <w:num w:numId="22" w16cid:durableId="674188809">
    <w:abstractNumId w:val="33"/>
  </w:num>
  <w:num w:numId="23" w16cid:durableId="1655404942">
    <w:abstractNumId w:val="19"/>
  </w:num>
  <w:num w:numId="24" w16cid:durableId="215095186">
    <w:abstractNumId w:val="21"/>
  </w:num>
  <w:num w:numId="25" w16cid:durableId="1193617682">
    <w:abstractNumId w:val="26"/>
  </w:num>
  <w:num w:numId="26" w16cid:durableId="907769006">
    <w:abstractNumId w:val="7"/>
  </w:num>
  <w:num w:numId="27" w16cid:durableId="212469335">
    <w:abstractNumId w:val="31"/>
  </w:num>
  <w:num w:numId="28" w16cid:durableId="1062948184">
    <w:abstractNumId w:val="34"/>
  </w:num>
  <w:num w:numId="29" w16cid:durableId="2033410651">
    <w:abstractNumId w:val="36"/>
  </w:num>
  <w:num w:numId="30" w16cid:durableId="1767455117">
    <w:abstractNumId w:val="3"/>
  </w:num>
  <w:num w:numId="31" w16cid:durableId="355233499">
    <w:abstractNumId w:val="11"/>
  </w:num>
  <w:num w:numId="32" w16cid:durableId="553010099">
    <w:abstractNumId w:val="32"/>
  </w:num>
  <w:num w:numId="33" w16cid:durableId="1993825549">
    <w:abstractNumId w:val="5"/>
  </w:num>
  <w:num w:numId="34" w16cid:durableId="1607496111">
    <w:abstractNumId w:val="28"/>
  </w:num>
  <w:num w:numId="35" w16cid:durableId="230429309">
    <w:abstractNumId w:val="27"/>
  </w:num>
  <w:num w:numId="36" w16cid:durableId="441925693">
    <w:abstractNumId w:val="15"/>
  </w:num>
  <w:num w:numId="37" w16cid:durableId="893387610">
    <w:abstractNumId w:val="24"/>
  </w:num>
  <w:num w:numId="38" w16cid:durableId="1387608539">
    <w:abstractNumId w:val="3"/>
  </w:num>
  <w:num w:numId="39" w16cid:durableId="341081209">
    <w:abstractNumId w:val="3"/>
  </w:num>
  <w:num w:numId="40" w16cid:durableId="158965605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647"/>
    <w:rsid w:val="00002A37"/>
    <w:rsid w:val="0000564C"/>
    <w:rsid w:val="00006446"/>
    <w:rsid w:val="00006896"/>
    <w:rsid w:val="00007CDC"/>
    <w:rsid w:val="00011B28"/>
    <w:rsid w:val="00015D15"/>
    <w:rsid w:val="0002564D"/>
    <w:rsid w:val="00025C67"/>
    <w:rsid w:val="00025ECA"/>
    <w:rsid w:val="000325B8"/>
    <w:rsid w:val="00034C15"/>
    <w:rsid w:val="0003588F"/>
    <w:rsid w:val="00036BA1"/>
    <w:rsid w:val="0003771D"/>
    <w:rsid w:val="000409EB"/>
    <w:rsid w:val="000422E2"/>
    <w:rsid w:val="00042F22"/>
    <w:rsid w:val="000444EF"/>
    <w:rsid w:val="00046CE0"/>
    <w:rsid w:val="00052A07"/>
    <w:rsid w:val="000534E3"/>
    <w:rsid w:val="000539E3"/>
    <w:rsid w:val="000549DA"/>
    <w:rsid w:val="0005606A"/>
    <w:rsid w:val="000568F8"/>
    <w:rsid w:val="00057117"/>
    <w:rsid w:val="0005782C"/>
    <w:rsid w:val="000616E7"/>
    <w:rsid w:val="000626AB"/>
    <w:rsid w:val="0006487E"/>
    <w:rsid w:val="0006550C"/>
    <w:rsid w:val="00065E1A"/>
    <w:rsid w:val="0007266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0FF"/>
    <w:rsid w:val="000A7BF0"/>
    <w:rsid w:val="000B1272"/>
    <w:rsid w:val="000B2719"/>
    <w:rsid w:val="000B3A8F"/>
    <w:rsid w:val="000B4AB9"/>
    <w:rsid w:val="000B58C3"/>
    <w:rsid w:val="000B61E9"/>
    <w:rsid w:val="000B7653"/>
    <w:rsid w:val="000B7AFB"/>
    <w:rsid w:val="000C165A"/>
    <w:rsid w:val="000C2E19"/>
    <w:rsid w:val="000D0D07"/>
    <w:rsid w:val="000D0E4E"/>
    <w:rsid w:val="000D164D"/>
    <w:rsid w:val="000D4797"/>
    <w:rsid w:val="000E0527"/>
    <w:rsid w:val="000E1E92"/>
    <w:rsid w:val="000F06D6"/>
    <w:rsid w:val="000F0EB1"/>
    <w:rsid w:val="000F1106"/>
    <w:rsid w:val="000F3BE9"/>
    <w:rsid w:val="000F3F6C"/>
    <w:rsid w:val="000F63FD"/>
    <w:rsid w:val="000F6DF3"/>
    <w:rsid w:val="000F72B8"/>
    <w:rsid w:val="001005FF"/>
    <w:rsid w:val="001050D2"/>
    <w:rsid w:val="001062FB"/>
    <w:rsid w:val="001063E6"/>
    <w:rsid w:val="00113CF4"/>
    <w:rsid w:val="0011458F"/>
    <w:rsid w:val="001153EA"/>
    <w:rsid w:val="00115643"/>
    <w:rsid w:val="00116765"/>
    <w:rsid w:val="001219F5"/>
    <w:rsid w:val="00121A20"/>
    <w:rsid w:val="0012377F"/>
    <w:rsid w:val="00124314"/>
    <w:rsid w:val="001266C9"/>
    <w:rsid w:val="00126B4A"/>
    <w:rsid w:val="00131694"/>
    <w:rsid w:val="00131EFF"/>
    <w:rsid w:val="00132748"/>
    <w:rsid w:val="001328DC"/>
    <w:rsid w:val="00132FD0"/>
    <w:rsid w:val="0013410F"/>
    <w:rsid w:val="001344C0"/>
    <w:rsid w:val="001346FA"/>
    <w:rsid w:val="0013477C"/>
    <w:rsid w:val="00135252"/>
    <w:rsid w:val="001366E5"/>
    <w:rsid w:val="001377CD"/>
    <w:rsid w:val="00137AB5"/>
    <w:rsid w:val="00137F0B"/>
    <w:rsid w:val="00147B33"/>
    <w:rsid w:val="00151E23"/>
    <w:rsid w:val="001526E0"/>
    <w:rsid w:val="001551B5"/>
    <w:rsid w:val="00155BD4"/>
    <w:rsid w:val="00156561"/>
    <w:rsid w:val="001659C1"/>
    <w:rsid w:val="00173A8E"/>
    <w:rsid w:val="0017502C"/>
    <w:rsid w:val="00175BC9"/>
    <w:rsid w:val="00176BD5"/>
    <w:rsid w:val="001775BA"/>
    <w:rsid w:val="0018143F"/>
    <w:rsid w:val="00181FF8"/>
    <w:rsid w:val="00185CA8"/>
    <w:rsid w:val="00187944"/>
    <w:rsid w:val="00190AC1"/>
    <w:rsid w:val="0019341A"/>
    <w:rsid w:val="00194299"/>
    <w:rsid w:val="00197DF9"/>
    <w:rsid w:val="001A1987"/>
    <w:rsid w:val="001A2564"/>
    <w:rsid w:val="001A6173"/>
    <w:rsid w:val="001A6CBA"/>
    <w:rsid w:val="001B0939"/>
    <w:rsid w:val="001B0D97"/>
    <w:rsid w:val="001B5A5D"/>
    <w:rsid w:val="001B7986"/>
    <w:rsid w:val="001C00CE"/>
    <w:rsid w:val="001C1CE5"/>
    <w:rsid w:val="001C3D2A"/>
    <w:rsid w:val="001D1228"/>
    <w:rsid w:val="001D320A"/>
    <w:rsid w:val="001D3C07"/>
    <w:rsid w:val="001D3FE8"/>
    <w:rsid w:val="001D51BA"/>
    <w:rsid w:val="001D53E7"/>
    <w:rsid w:val="001D6342"/>
    <w:rsid w:val="001D6B0D"/>
    <w:rsid w:val="001D6D53"/>
    <w:rsid w:val="001E39E1"/>
    <w:rsid w:val="001E58E2"/>
    <w:rsid w:val="001E6FA6"/>
    <w:rsid w:val="001E7AED"/>
    <w:rsid w:val="001F3916"/>
    <w:rsid w:val="001F5287"/>
    <w:rsid w:val="001F54C5"/>
    <w:rsid w:val="001F58E8"/>
    <w:rsid w:val="001F662C"/>
    <w:rsid w:val="001F7074"/>
    <w:rsid w:val="00200490"/>
    <w:rsid w:val="00201F3A"/>
    <w:rsid w:val="00203818"/>
    <w:rsid w:val="00203F96"/>
    <w:rsid w:val="0020469B"/>
    <w:rsid w:val="002069B2"/>
    <w:rsid w:val="00207FA3"/>
    <w:rsid w:val="00214DA8"/>
    <w:rsid w:val="00215423"/>
    <w:rsid w:val="002158FA"/>
    <w:rsid w:val="00215912"/>
    <w:rsid w:val="00220600"/>
    <w:rsid w:val="002224DB"/>
    <w:rsid w:val="00223FCB"/>
    <w:rsid w:val="002242B2"/>
    <w:rsid w:val="002252C3"/>
    <w:rsid w:val="0022577C"/>
    <w:rsid w:val="00225C54"/>
    <w:rsid w:val="00230765"/>
    <w:rsid w:val="00230D18"/>
    <w:rsid w:val="002319E4"/>
    <w:rsid w:val="00233766"/>
    <w:rsid w:val="00235632"/>
    <w:rsid w:val="00235872"/>
    <w:rsid w:val="00241559"/>
    <w:rsid w:val="002435B3"/>
    <w:rsid w:val="002458EB"/>
    <w:rsid w:val="002500C8"/>
    <w:rsid w:val="002566EC"/>
    <w:rsid w:val="00257494"/>
    <w:rsid w:val="00257543"/>
    <w:rsid w:val="002617E7"/>
    <w:rsid w:val="00264228"/>
    <w:rsid w:val="00264334"/>
    <w:rsid w:val="0026473E"/>
    <w:rsid w:val="00266214"/>
    <w:rsid w:val="00267C83"/>
    <w:rsid w:val="00267CB1"/>
    <w:rsid w:val="002709E3"/>
    <w:rsid w:val="0027144F"/>
    <w:rsid w:val="00271813"/>
    <w:rsid w:val="00271F3A"/>
    <w:rsid w:val="00272FDD"/>
    <w:rsid w:val="00273278"/>
    <w:rsid w:val="002737F4"/>
    <w:rsid w:val="002751FE"/>
    <w:rsid w:val="002805F5"/>
    <w:rsid w:val="00280751"/>
    <w:rsid w:val="0028280A"/>
    <w:rsid w:val="00285302"/>
    <w:rsid w:val="00286ACD"/>
    <w:rsid w:val="00287838"/>
    <w:rsid w:val="002907B5"/>
    <w:rsid w:val="00292EB7"/>
    <w:rsid w:val="00296227"/>
    <w:rsid w:val="00296F44"/>
    <w:rsid w:val="0029777D"/>
    <w:rsid w:val="002A055E"/>
    <w:rsid w:val="002A1D4E"/>
    <w:rsid w:val="002A2869"/>
    <w:rsid w:val="002A578E"/>
    <w:rsid w:val="002A7622"/>
    <w:rsid w:val="002B24D6"/>
    <w:rsid w:val="002B470B"/>
    <w:rsid w:val="002B4A0A"/>
    <w:rsid w:val="002C16CC"/>
    <w:rsid w:val="002C41E6"/>
    <w:rsid w:val="002C66D6"/>
    <w:rsid w:val="002D071A"/>
    <w:rsid w:val="002D21B5"/>
    <w:rsid w:val="002D34B2"/>
    <w:rsid w:val="002D48B0"/>
    <w:rsid w:val="002D5B37"/>
    <w:rsid w:val="002D7637"/>
    <w:rsid w:val="002E17F2"/>
    <w:rsid w:val="002E5057"/>
    <w:rsid w:val="002E7CAE"/>
    <w:rsid w:val="002F13E4"/>
    <w:rsid w:val="002F1510"/>
    <w:rsid w:val="002F1CCD"/>
    <w:rsid w:val="002F2771"/>
    <w:rsid w:val="002F37A9"/>
    <w:rsid w:val="00301CE6"/>
    <w:rsid w:val="0030256B"/>
    <w:rsid w:val="0030501F"/>
    <w:rsid w:val="00306E6F"/>
    <w:rsid w:val="00307BA1"/>
    <w:rsid w:val="00311702"/>
    <w:rsid w:val="00311E82"/>
    <w:rsid w:val="00313230"/>
    <w:rsid w:val="00313FD6"/>
    <w:rsid w:val="003143BD"/>
    <w:rsid w:val="00315363"/>
    <w:rsid w:val="00317571"/>
    <w:rsid w:val="00317753"/>
    <w:rsid w:val="003203ED"/>
    <w:rsid w:val="00322C9F"/>
    <w:rsid w:val="00324D23"/>
    <w:rsid w:val="0032612D"/>
    <w:rsid w:val="00330611"/>
    <w:rsid w:val="00331275"/>
    <w:rsid w:val="00331751"/>
    <w:rsid w:val="00334579"/>
    <w:rsid w:val="00335858"/>
    <w:rsid w:val="00336BDA"/>
    <w:rsid w:val="00342BD7"/>
    <w:rsid w:val="00346DB5"/>
    <w:rsid w:val="003477B1"/>
    <w:rsid w:val="00351F32"/>
    <w:rsid w:val="00355539"/>
    <w:rsid w:val="00357380"/>
    <w:rsid w:val="003602D9"/>
    <w:rsid w:val="003604CE"/>
    <w:rsid w:val="00361CF8"/>
    <w:rsid w:val="0036601E"/>
    <w:rsid w:val="00370A5A"/>
    <w:rsid w:val="00370E47"/>
    <w:rsid w:val="003742AC"/>
    <w:rsid w:val="00377CE1"/>
    <w:rsid w:val="00383BC1"/>
    <w:rsid w:val="00385218"/>
    <w:rsid w:val="00385BF0"/>
    <w:rsid w:val="00392DB6"/>
    <w:rsid w:val="003939FF"/>
    <w:rsid w:val="003A20E1"/>
    <w:rsid w:val="003A2223"/>
    <w:rsid w:val="003A2A0F"/>
    <w:rsid w:val="003A45A1"/>
    <w:rsid w:val="003A5B0A"/>
    <w:rsid w:val="003A6BAC"/>
    <w:rsid w:val="003A6DAB"/>
    <w:rsid w:val="003A70A4"/>
    <w:rsid w:val="003A7EF3"/>
    <w:rsid w:val="003B159C"/>
    <w:rsid w:val="003B369F"/>
    <w:rsid w:val="003B36A3"/>
    <w:rsid w:val="003B64BB"/>
    <w:rsid w:val="003B7FE5"/>
    <w:rsid w:val="003C11C8"/>
    <w:rsid w:val="003C2702"/>
    <w:rsid w:val="003C45F9"/>
    <w:rsid w:val="003C7806"/>
    <w:rsid w:val="003D0664"/>
    <w:rsid w:val="003D109F"/>
    <w:rsid w:val="003D2478"/>
    <w:rsid w:val="003D3C45"/>
    <w:rsid w:val="003D470B"/>
    <w:rsid w:val="003D50F0"/>
    <w:rsid w:val="003D5B1F"/>
    <w:rsid w:val="003D5EC9"/>
    <w:rsid w:val="003D63FA"/>
    <w:rsid w:val="003E109E"/>
    <w:rsid w:val="003E15FA"/>
    <w:rsid w:val="003E4B40"/>
    <w:rsid w:val="003E55E4"/>
    <w:rsid w:val="003E74E3"/>
    <w:rsid w:val="003F05C7"/>
    <w:rsid w:val="003F1065"/>
    <w:rsid w:val="003F1696"/>
    <w:rsid w:val="003F2CD4"/>
    <w:rsid w:val="003F6BBE"/>
    <w:rsid w:val="003F6BE1"/>
    <w:rsid w:val="004000E8"/>
    <w:rsid w:val="00401520"/>
    <w:rsid w:val="004016C2"/>
    <w:rsid w:val="00402E2B"/>
    <w:rsid w:val="0040512B"/>
    <w:rsid w:val="00405CA5"/>
    <w:rsid w:val="00406585"/>
    <w:rsid w:val="00407879"/>
    <w:rsid w:val="00407CD3"/>
    <w:rsid w:val="00410134"/>
    <w:rsid w:val="00410B72"/>
    <w:rsid w:val="00410F18"/>
    <w:rsid w:val="00411120"/>
    <w:rsid w:val="0041263E"/>
    <w:rsid w:val="004139CD"/>
    <w:rsid w:val="00413AAC"/>
    <w:rsid w:val="00413E92"/>
    <w:rsid w:val="00416738"/>
    <w:rsid w:val="00417C44"/>
    <w:rsid w:val="00421105"/>
    <w:rsid w:val="00422AA4"/>
    <w:rsid w:val="004242F4"/>
    <w:rsid w:val="004269DF"/>
    <w:rsid w:val="00427248"/>
    <w:rsid w:val="00437447"/>
    <w:rsid w:val="00441A92"/>
    <w:rsid w:val="00442D4F"/>
    <w:rsid w:val="004431DC"/>
    <w:rsid w:val="00444F56"/>
    <w:rsid w:val="00446488"/>
    <w:rsid w:val="0045147A"/>
    <w:rsid w:val="004517AA"/>
    <w:rsid w:val="00452CAC"/>
    <w:rsid w:val="00457565"/>
    <w:rsid w:val="00457B71"/>
    <w:rsid w:val="00464689"/>
    <w:rsid w:val="004669E2"/>
    <w:rsid w:val="00466C38"/>
    <w:rsid w:val="0047030B"/>
    <w:rsid w:val="00470C31"/>
    <w:rsid w:val="0047116E"/>
    <w:rsid w:val="00471DE0"/>
    <w:rsid w:val="004734D0"/>
    <w:rsid w:val="00474A17"/>
    <w:rsid w:val="0047556B"/>
    <w:rsid w:val="004759F0"/>
    <w:rsid w:val="00477768"/>
    <w:rsid w:val="00480CC2"/>
    <w:rsid w:val="00481CC3"/>
    <w:rsid w:val="00483591"/>
    <w:rsid w:val="004875AD"/>
    <w:rsid w:val="00490D1C"/>
    <w:rsid w:val="00492BC5"/>
    <w:rsid w:val="004950F2"/>
    <w:rsid w:val="004964F1"/>
    <w:rsid w:val="004A16BC"/>
    <w:rsid w:val="004A2B94"/>
    <w:rsid w:val="004B32F9"/>
    <w:rsid w:val="004B573D"/>
    <w:rsid w:val="004B6F6A"/>
    <w:rsid w:val="004B7C0C"/>
    <w:rsid w:val="004C1EED"/>
    <w:rsid w:val="004C2790"/>
    <w:rsid w:val="004C3898"/>
    <w:rsid w:val="004D1F04"/>
    <w:rsid w:val="004D36B1"/>
    <w:rsid w:val="004D36D4"/>
    <w:rsid w:val="004D4CBE"/>
    <w:rsid w:val="004D56B7"/>
    <w:rsid w:val="004D5940"/>
    <w:rsid w:val="004D7EBD"/>
    <w:rsid w:val="004E2680"/>
    <w:rsid w:val="004E28F9"/>
    <w:rsid w:val="004E462E"/>
    <w:rsid w:val="004E56DC"/>
    <w:rsid w:val="004E76F4"/>
    <w:rsid w:val="004F0B4E"/>
    <w:rsid w:val="004F0B6C"/>
    <w:rsid w:val="004F2078"/>
    <w:rsid w:val="004F4DA3"/>
    <w:rsid w:val="0050019F"/>
    <w:rsid w:val="0050516A"/>
    <w:rsid w:val="00506557"/>
    <w:rsid w:val="0050677A"/>
    <w:rsid w:val="005074D7"/>
    <w:rsid w:val="005108D8"/>
    <w:rsid w:val="005116F9"/>
    <w:rsid w:val="005153A7"/>
    <w:rsid w:val="00520AD2"/>
    <w:rsid w:val="005219CF"/>
    <w:rsid w:val="00523C6A"/>
    <w:rsid w:val="00523FC3"/>
    <w:rsid w:val="00525F09"/>
    <w:rsid w:val="005317C1"/>
    <w:rsid w:val="00534B59"/>
    <w:rsid w:val="00536759"/>
    <w:rsid w:val="00537C62"/>
    <w:rsid w:val="00542F6F"/>
    <w:rsid w:val="00546970"/>
    <w:rsid w:val="005478D1"/>
    <w:rsid w:val="00554E19"/>
    <w:rsid w:val="0056112F"/>
    <w:rsid w:val="0056121F"/>
    <w:rsid w:val="00572505"/>
    <w:rsid w:val="00576B54"/>
    <w:rsid w:val="0057722D"/>
    <w:rsid w:val="005823B9"/>
    <w:rsid w:val="00582809"/>
    <w:rsid w:val="00583EAF"/>
    <w:rsid w:val="0058798C"/>
    <w:rsid w:val="005900FA"/>
    <w:rsid w:val="005935A4"/>
    <w:rsid w:val="005948C2"/>
    <w:rsid w:val="00595DCA"/>
    <w:rsid w:val="0059779B"/>
    <w:rsid w:val="005979FF"/>
    <w:rsid w:val="005A0B9B"/>
    <w:rsid w:val="005A0EF1"/>
    <w:rsid w:val="005A209A"/>
    <w:rsid w:val="005A360C"/>
    <w:rsid w:val="005A3CEF"/>
    <w:rsid w:val="005A662D"/>
    <w:rsid w:val="005B1409"/>
    <w:rsid w:val="005B35D7"/>
    <w:rsid w:val="005B392A"/>
    <w:rsid w:val="005B3AA3"/>
    <w:rsid w:val="005B6F83"/>
    <w:rsid w:val="005C55A8"/>
    <w:rsid w:val="005C74FB"/>
    <w:rsid w:val="005D1602"/>
    <w:rsid w:val="005E27CA"/>
    <w:rsid w:val="005E3186"/>
    <w:rsid w:val="005E385F"/>
    <w:rsid w:val="005E5B81"/>
    <w:rsid w:val="005F01C5"/>
    <w:rsid w:val="005F2CB1"/>
    <w:rsid w:val="005F3025"/>
    <w:rsid w:val="005F618C"/>
    <w:rsid w:val="005F70BD"/>
    <w:rsid w:val="0060283C"/>
    <w:rsid w:val="00604F14"/>
    <w:rsid w:val="00611B83"/>
    <w:rsid w:val="00613257"/>
    <w:rsid w:val="00613CC2"/>
    <w:rsid w:val="00620A71"/>
    <w:rsid w:val="00620D80"/>
    <w:rsid w:val="00620FB3"/>
    <w:rsid w:val="0062233D"/>
    <w:rsid w:val="006234A6"/>
    <w:rsid w:val="00623BBA"/>
    <w:rsid w:val="0062448F"/>
    <w:rsid w:val="00630001"/>
    <w:rsid w:val="006311B3"/>
    <w:rsid w:val="0063284C"/>
    <w:rsid w:val="00636398"/>
    <w:rsid w:val="006368D3"/>
    <w:rsid w:val="006377EC"/>
    <w:rsid w:val="0064151F"/>
    <w:rsid w:val="00641533"/>
    <w:rsid w:val="0064208D"/>
    <w:rsid w:val="00643475"/>
    <w:rsid w:val="0064396A"/>
    <w:rsid w:val="0064624E"/>
    <w:rsid w:val="00650AB9"/>
    <w:rsid w:val="0065400C"/>
    <w:rsid w:val="00655733"/>
    <w:rsid w:val="00655ACD"/>
    <w:rsid w:val="00656A92"/>
    <w:rsid w:val="00656DDE"/>
    <w:rsid w:val="0065742C"/>
    <w:rsid w:val="0066011D"/>
    <w:rsid w:val="006607C0"/>
    <w:rsid w:val="006613A6"/>
    <w:rsid w:val="006627A2"/>
    <w:rsid w:val="006627FB"/>
    <w:rsid w:val="006634E6"/>
    <w:rsid w:val="006655EE"/>
    <w:rsid w:val="00667EE7"/>
    <w:rsid w:val="00670922"/>
    <w:rsid w:val="00670BE1"/>
    <w:rsid w:val="0067218F"/>
    <w:rsid w:val="006741F2"/>
    <w:rsid w:val="00674CC3"/>
    <w:rsid w:val="00675C72"/>
    <w:rsid w:val="00675E9D"/>
    <w:rsid w:val="006771F9"/>
    <w:rsid w:val="006776D7"/>
    <w:rsid w:val="00681003"/>
    <w:rsid w:val="006817C9"/>
    <w:rsid w:val="006836FC"/>
    <w:rsid w:val="00683ECE"/>
    <w:rsid w:val="00695FC2"/>
    <w:rsid w:val="00696949"/>
    <w:rsid w:val="00697052"/>
    <w:rsid w:val="006A46FB"/>
    <w:rsid w:val="006A5E28"/>
    <w:rsid w:val="006A697B"/>
    <w:rsid w:val="006A7AFF"/>
    <w:rsid w:val="006B0911"/>
    <w:rsid w:val="006B1816"/>
    <w:rsid w:val="006B2099"/>
    <w:rsid w:val="006B316D"/>
    <w:rsid w:val="006B3C8D"/>
    <w:rsid w:val="006B50CF"/>
    <w:rsid w:val="006B7E78"/>
    <w:rsid w:val="006C03B8"/>
    <w:rsid w:val="006C2C26"/>
    <w:rsid w:val="006C2F1E"/>
    <w:rsid w:val="006C3180"/>
    <w:rsid w:val="006C5EC9"/>
    <w:rsid w:val="006C6059"/>
    <w:rsid w:val="006C7522"/>
    <w:rsid w:val="006D2884"/>
    <w:rsid w:val="006D6F08"/>
    <w:rsid w:val="006E062C"/>
    <w:rsid w:val="006E1C82"/>
    <w:rsid w:val="006E1F0E"/>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C02"/>
    <w:rsid w:val="00704EDB"/>
    <w:rsid w:val="00706101"/>
    <w:rsid w:val="00707072"/>
    <w:rsid w:val="00707D61"/>
    <w:rsid w:val="00710C91"/>
    <w:rsid w:val="00712287"/>
    <w:rsid w:val="00712772"/>
    <w:rsid w:val="007148D3"/>
    <w:rsid w:val="00715B9A"/>
    <w:rsid w:val="0071788A"/>
    <w:rsid w:val="00721B32"/>
    <w:rsid w:val="00721DED"/>
    <w:rsid w:val="00722CEF"/>
    <w:rsid w:val="007245FD"/>
    <w:rsid w:val="007257D0"/>
    <w:rsid w:val="00726EA6"/>
    <w:rsid w:val="00727208"/>
    <w:rsid w:val="00727680"/>
    <w:rsid w:val="007348B1"/>
    <w:rsid w:val="00734DCC"/>
    <w:rsid w:val="007362A6"/>
    <w:rsid w:val="00736D7D"/>
    <w:rsid w:val="00740C71"/>
    <w:rsid w:val="00740E58"/>
    <w:rsid w:val="007445A0"/>
    <w:rsid w:val="007451E8"/>
    <w:rsid w:val="0074524B"/>
    <w:rsid w:val="00747D8B"/>
    <w:rsid w:val="00751228"/>
    <w:rsid w:val="007571E1"/>
    <w:rsid w:val="007604B2"/>
    <w:rsid w:val="007619CF"/>
    <w:rsid w:val="00763726"/>
    <w:rsid w:val="00765281"/>
    <w:rsid w:val="00766BAD"/>
    <w:rsid w:val="007729A2"/>
    <w:rsid w:val="00773776"/>
    <w:rsid w:val="007747B3"/>
    <w:rsid w:val="007755F2"/>
    <w:rsid w:val="00776971"/>
    <w:rsid w:val="00780A80"/>
    <w:rsid w:val="0078177E"/>
    <w:rsid w:val="0078304C"/>
    <w:rsid w:val="00783673"/>
    <w:rsid w:val="00785490"/>
    <w:rsid w:val="007925EA"/>
    <w:rsid w:val="00793CD8"/>
    <w:rsid w:val="00794552"/>
    <w:rsid w:val="00795160"/>
    <w:rsid w:val="00795C92"/>
    <w:rsid w:val="00796231"/>
    <w:rsid w:val="00797173"/>
    <w:rsid w:val="007A1CB3"/>
    <w:rsid w:val="007A306F"/>
    <w:rsid w:val="007A43A6"/>
    <w:rsid w:val="007A44B6"/>
    <w:rsid w:val="007A456E"/>
    <w:rsid w:val="007A58A6"/>
    <w:rsid w:val="007B0737"/>
    <w:rsid w:val="007B23C8"/>
    <w:rsid w:val="007B3D2D"/>
    <w:rsid w:val="007B50AE"/>
    <w:rsid w:val="007B51DF"/>
    <w:rsid w:val="007C05DD"/>
    <w:rsid w:val="007C3D18"/>
    <w:rsid w:val="007C60BF"/>
    <w:rsid w:val="007C6A07"/>
    <w:rsid w:val="007C75A1"/>
    <w:rsid w:val="007C77A5"/>
    <w:rsid w:val="007D04E5"/>
    <w:rsid w:val="007D1E5B"/>
    <w:rsid w:val="007D5901"/>
    <w:rsid w:val="007D7526"/>
    <w:rsid w:val="007D7BC4"/>
    <w:rsid w:val="007E2CFE"/>
    <w:rsid w:val="007E4610"/>
    <w:rsid w:val="007E4715"/>
    <w:rsid w:val="007E4CE8"/>
    <w:rsid w:val="007E505B"/>
    <w:rsid w:val="007E7091"/>
    <w:rsid w:val="007E7FAC"/>
    <w:rsid w:val="007F05A8"/>
    <w:rsid w:val="0080202B"/>
    <w:rsid w:val="00803FAE"/>
    <w:rsid w:val="008043E8"/>
    <w:rsid w:val="0080605F"/>
    <w:rsid w:val="00807786"/>
    <w:rsid w:val="00810108"/>
    <w:rsid w:val="00811FCB"/>
    <w:rsid w:val="008158D6"/>
    <w:rsid w:val="00817196"/>
    <w:rsid w:val="00821029"/>
    <w:rsid w:val="008224F8"/>
    <w:rsid w:val="008235DB"/>
    <w:rsid w:val="00824AB4"/>
    <w:rsid w:val="00825C42"/>
    <w:rsid w:val="00825D25"/>
    <w:rsid w:val="00827D6F"/>
    <w:rsid w:val="00830AC9"/>
    <w:rsid w:val="0083280A"/>
    <w:rsid w:val="008372F4"/>
    <w:rsid w:val="008376AC"/>
    <w:rsid w:val="00841994"/>
    <w:rsid w:val="008444E8"/>
    <w:rsid w:val="00844E80"/>
    <w:rsid w:val="00846FE7"/>
    <w:rsid w:val="00852F57"/>
    <w:rsid w:val="00856911"/>
    <w:rsid w:val="008605CA"/>
    <w:rsid w:val="00863CBA"/>
    <w:rsid w:val="008651FF"/>
    <w:rsid w:val="008677FD"/>
    <w:rsid w:val="00867E1E"/>
    <w:rsid w:val="008706D4"/>
    <w:rsid w:val="00870F8A"/>
    <w:rsid w:val="008719A4"/>
    <w:rsid w:val="00871D23"/>
    <w:rsid w:val="00873F38"/>
    <w:rsid w:val="00874312"/>
    <w:rsid w:val="0087437C"/>
    <w:rsid w:val="00875CD7"/>
    <w:rsid w:val="00876B4D"/>
    <w:rsid w:val="00877F18"/>
    <w:rsid w:val="00880866"/>
    <w:rsid w:val="00880B58"/>
    <w:rsid w:val="00884130"/>
    <w:rsid w:val="00887493"/>
    <w:rsid w:val="00893457"/>
    <w:rsid w:val="008941E3"/>
    <w:rsid w:val="00894A88"/>
    <w:rsid w:val="00894EE7"/>
    <w:rsid w:val="00895386"/>
    <w:rsid w:val="008A21FF"/>
    <w:rsid w:val="008A2CE2"/>
    <w:rsid w:val="008A30AA"/>
    <w:rsid w:val="008A30AC"/>
    <w:rsid w:val="008A34D7"/>
    <w:rsid w:val="008A44B8"/>
    <w:rsid w:val="008A51A8"/>
    <w:rsid w:val="008A54C7"/>
    <w:rsid w:val="008A77D8"/>
    <w:rsid w:val="008A7916"/>
    <w:rsid w:val="008B0483"/>
    <w:rsid w:val="008B120C"/>
    <w:rsid w:val="008B33A7"/>
    <w:rsid w:val="008B51A0"/>
    <w:rsid w:val="008B592A"/>
    <w:rsid w:val="008B7B5C"/>
    <w:rsid w:val="008C0C99"/>
    <w:rsid w:val="008C2017"/>
    <w:rsid w:val="008C4958"/>
    <w:rsid w:val="008C4BAA"/>
    <w:rsid w:val="008C4FB5"/>
    <w:rsid w:val="008C6AE8"/>
    <w:rsid w:val="008C7573"/>
    <w:rsid w:val="008D00A5"/>
    <w:rsid w:val="008D34F1"/>
    <w:rsid w:val="008D39D8"/>
    <w:rsid w:val="008D6D1A"/>
    <w:rsid w:val="008E065E"/>
    <w:rsid w:val="008E0927"/>
    <w:rsid w:val="008E1909"/>
    <w:rsid w:val="008E3522"/>
    <w:rsid w:val="008E7A3F"/>
    <w:rsid w:val="008F1C4E"/>
    <w:rsid w:val="008F1EAB"/>
    <w:rsid w:val="008F33DC"/>
    <w:rsid w:val="008F477F"/>
    <w:rsid w:val="008F699A"/>
    <w:rsid w:val="008F7F90"/>
    <w:rsid w:val="0090139E"/>
    <w:rsid w:val="00902350"/>
    <w:rsid w:val="0090336B"/>
    <w:rsid w:val="00904BE5"/>
    <w:rsid w:val="009053AA"/>
    <w:rsid w:val="00906939"/>
    <w:rsid w:val="00907E5A"/>
    <w:rsid w:val="00910B7D"/>
    <w:rsid w:val="00911174"/>
    <w:rsid w:val="00911DFB"/>
    <w:rsid w:val="009139D9"/>
    <w:rsid w:val="00914AD8"/>
    <w:rsid w:val="00916079"/>
    <w:rsid w:val="00917CE9"/>
    <w:rsid w:val="0092075B"/>
    <w:rsid w:val="00920BF2"/>
    <w:rsid w:val="00922010"/>
    <w:rsid w:val="009246EC"/>
    <w:rsid w:val="00931134"/>
    <w:rsid w:val="00931BD9"/>
    <w:rsid w:val="00934A1F"/>
    <w:rsid w:val="00934FA8"/>
    <w:rsid w:val="009368F3"/>
    <w:rsid w:val="00937A23"/>
    <w:rsid w:val="009412A4"/>
    <w:rsid w:val="00941636"/>
    <w:rsid w:val="00943742"/>
    <w:rsid w:val="009457BA"/>
    <w:rsid w:val="00945C05"/>
    <w:rsid w:val="00946945"/>
    <w:rsid w:val="00947713"/>
    <w:rsid w:val="00950DE7"/>
    <w:rsid w:val="00953920"/>
    <w:rsid w:val="00953D47"/>
    <w:rsid w:val="0095681E"/>
    <w:rsid w:val="009572D4"/>
    <w:rsid w:val="009617F7"/>
    <w:rsid w:val="00961921"/>
    <w:rsid w:val="00961F53"/>
    <w:rsid w:val="0096430A"/>
    <w:rsid w:val="0096554B"/>
    <w:rsid w:val="0096584A"/>
    <w:rsid w:val="009706B4"/>
    <w:rsid w:val="00970EAC"/>
    <w:rsid w:val="00971F08"/>
    <w:rsid w:val="0097603D"/>
    <w:rsid w:val="009764A3"/>
    <w:rsid w:val="00976949"/>
    <w:rsid w:val="009802A7"/>
    <w:rsid w:val="00980477"/>
    <w:rsid w:val="0098090A"/>
    <w:rsid w:val="00985253"/>
    <w:rsid w:val="009853B3"/>
    <w:rsid w:val="00990630"/>
    <w:rsid w:val="00991761"/>
    <w:rsid w:val="00992243"/>
    <w:rsid w:val="00992405"/>
    <w:rsid w:val="00994599"/>
    <w:rsid w:val="00994DCA"/>
    <w:rsid w:val="009960EC"/>
    <w:rsid w:val="00996D64"/>
    <w:rsid w:val="009970DD"/>
    <w:rsid w:val="009A0FBA"/>
    <w:rsid w:val="009A1601"/>
    <w:rsid w:val="009A1C1A"/>
    <w:rsid w:val="009A3BB6"/>
    <w:rsid w:val="009A462D"/>
    <w:rsid w:val="009A5CBA"/>
    <w:rsid w:val="009B1009"/>
    <w:rsid w:val="009B1F30"/>
    <w:rsid w:val="009B3AC2"/>
    <w:rsid w:val="009B4DF4"/>
    <w:rsid w:val="009B564E"/>
    <w:rsid w:val="009B611F"/>
    <w:rsid w:val="009B7E87"/>
    <w:rsid w:val="009C0169"/>
    <w:rsid w:val="009C403E"/>
    <w:rsid w:val="009D0507"/>
    <w:rsid w:val="009D4FF0"/>
    <w:rsid w:val="009D703C"/>
    <w:rsid w:val="009D718F"/>
    <w:rsid w:val="009E068F"/>
    <w:rsid w:val="009E14E0"/>
    <w:rsid w:val="009E1868"/>
    <w:rsid w:val="009E35DB"/>
    <w:rsid w:val="009E47A3"/>
    <w:rsid w:val="009E55EC"/>
    <w:rsid w:val="009E64B2"/>
    <w:rsid w:val="009F08F3"/>
    <w:rsid w:val="009F0D02"/>
    <w:rsid w:val="009F344F"/>
    <w:rsid w:val="00A031D8"/>
    <w:rsid w:val="00A03A02"/>
    <w:rsid w:val="00A048A8"/>
    <w:rsid w:val="00A04F49"/>
    <w:rsid w:val="00A07750"/>
    <w:rsid w:val="00A077F5"/>
    <w:rsid w:val="00A108ED"/>
    <w:rsid w:val="00A13E54"/>
    <w:rsid w:val="00A17F63"/>
    <w:rsid w:val="00A2193B"/>
    <w:rsid w:val="00A2351A"/>
    <w:rsid w:val="00A264A9"/>
    <w:rsid w:val="00A26DCF"/>
    <w:rsid w:val="00A27785"/>
    <w:rsid w:val="00A27F8E"/>
    <w:rsid w:val="00A30187"/>
    <w:rsid w:val="00A322FB"/>
    <w:rsid w:val="00A3448A"/>
    <w:rsid w:val="00A36297"/>
    <w:rsid w:val="00A36B5D"/>
    <w:rsid w:val="00A40A81"/>
    <w:rsid w:val="00A4127B"/>
    <w:rsid w:val="00A41E2B"/>
    <w:rsid w:val="00A45B74"/>
    <w:rsid w:val="00A512F1"/>
    <w:rsid w:val="00A52E1D"/>
    <w:rsid w:val="00A54811"/>
    <w:rsid w:val="00A54B3E"/>
    <w:rsid w:val="00A61046"/>
    <w:rsid w:val="00A61499"/>
    <w:rsid w:val="00A62A77"/>
    <w:rsid w:val="00A63483"/>
    <w:rsid w:val="00A64DDD"/>
    <w:rsid w:val="00A657D7"/>
    <w:rsid w:val="00A660AC"/>
    <w:rsid w:val="00A67E6C"/>
    <w:rsid w:val="00A71B99"/>
    <w:rsid w:val="00A739D0"/>
    <w:rsid w:val="00A761D4"/>
    <w:rsid w:val="00A77EC4"/>
    <w:rsid w:val="00A83FA9"/>
    <w:rsid w:val="00A850BB"/>
    <w:rsid w:val="00A911D4"/>
    <w:rsid w:val="00A92879"/>
    <w:rsid w:val="00A9442A"/>
    <w:rsid w:val="00A9752A"/>
    <w:rsid w:val="00AA016F"/>
    <w:rsid w:val="00AA0A71"/>
    <w:rsid w:val="00AA1ED6"/>
    <w:rsid w:val="00AA51D6"/>
    <w:rsid w:val="00AB0BC8"/>
    <w:rsid w:val="00AB11CA"/>
    <w:rsid w:val="00AB14D9"/>
    <w:rsid w:val="00AB4AB8"/>
    <w:rsid w:val="00AB655E"/>
    <w:rsid w:val="00AC007F"/>
    <w:rsid w:val="00AC2ECD"/>
    <w:rsid w:val="00AC3119"/>
    <w:rsid w:val="00AC49FB"/>
    <w:rsid w:val="00AC5A10"/>
    <w:rsid w:val="00AD0AA3"/>
    <w:rsid w:val="00AD11A6"/>
    <w:rsid w:val="00AD1437"/>
    <w:rsid w:val="00AD2ED0"/>
    <w:rsid w:val="00AD3F94"/>
    <w:rsid w:val="00AD4A5A"/>
    <w:rsid w:val="00AE0E5D"/>
    <w:rsid w:val="00AE1AF2"/>
    <w:rsid w:val="00AE27AC"/>
    <w:rsid w:val="00AE40E0"/>
    <w:rsid w:val="00AE4DBA"/>
    <w:rsid w:val="00AE4F07"/>
    <w:rsid w:val="00AF0577"/>
    <w:rsid w:val="00AF1C5D"/>
    <w:rsid w:val="00AF42D7"/>
    <w:rsid w:val="00AF5834"/>
    <w:rsid w:val="00AF6D7F"/>
    <w:rsid w:val="00B006FE"/>
    <w:rsid w:val="00B007CB"/>
    <w:rsid w:val="00B01C44"/>
    <w:rsid w:val="00B02AA9"/>
    <w:rsid w:val="00B02FA3"/>
    <w:rsid w:val="00B05084"/>
    <w:rsid w:val="00B10AE5"/>
    <w:rsid w:val="00B114AD"/>
    <w:rsid w:val="00B12ECE"/>
    <w:rsid w:val="00B157F9"/>
    <w:rsid w:val="00B20256"/>
    <w:rsid w:val="00B20882"/>
    <w:rsid w:val="00B20D09"/>
    <w:rsid w:val="00B2757F"/>
    <w:rsid w:val="00B2763F"/>
    <w:rsid w:val="00B27AAC"/>
    <w:rsid w:val="00B27D55"/>
    <w:rsid w:val="00B30929"/>
    <w:rsid w:val="00B372AA"/>
    <w:rsid w:val="00B37649"/>
    <w:rsid w:val="00B378E4"/>
    <w:rsid w:val="00B40445"/>
    <w:rsid w:val="00B409E0"/>
    <w:rsid w:val="00B41770"/>
    <w:rsid w:val="00B41888"/>
    <w:rsid w:val="00B41F28"/>
    <w:rsid w:val="00B45A52"/>
    <w:rsid w:val="00B46175"/>
    <w:rsid w:val="00B4622C"/>
    <w:rsid w:val="00B52587"/>
    <w:rsid w:val="00B548B7"/>
    <w:rsid w:val="00B55FCB"/>
    <w:rsid w:val="00B614B6"/>
    <w:rsid w:val="00B63A01"/>
    <w:rsid w:val="00B664C7"/>
    <w:rsid w:val="00B66722"/>
    <w:rsid w:val="00B713D8"/>
    <w:rsid w:val="00B739F6"/>
    <w:rsid w:val="00B74398"/>
    <w:rsid w:val="00B81A6C"/>
    <w:rsid w:val="00B83F51"/>
    <w:rsid w:val="00B85DE5"/>
    <w:rsid w:val="00B85F3F"/>
    <w:rsid w:val="00B90F73"/>
    <w:rsid w:val="00B93B59"/>
    <w:rsid w:val="00B9406A"/>
    <w:rsid w:val="00B97F2F"/>
    <w:rsid w:val="00BA13C5"/>
    <w:rsid w:val="00BA2280"/>
    <w:rsid w:val="00BA2A08"/>
    <w:rsid w:val="00BA56D2"/>
    <w:rsid w:val="00BA76E0"/>
    <w:rsid w:val="00BB2A25"/>
    <w:rsid w:val="00BB51E9"/>
    <w:rsid w:val="00BB5DB1"/>
    <w:rsid w:val="00BC0FDC"/>
    <w:rsid w:val="00BC3053"/>
    <w:rsid w:val="00BC4D2E"/>
    <w:rsid w:val="00BD07A7"/>
    <w:rsid w:val="00BD48AC"/>
    <w:rsid w:val="00BD5404"/>
    <w:rsid w:val="00BD5F1A"/>
    <w:rsid w:val="00BE1234"/>
    <w:rsid w:val="00BE2FA6"/>
    <w:rsid w:val="00BE333F"/>
    <w:rsid w:val="00BE7406"/>
    <w:rsid w:val="00BE7603"/>
    <w:rsid w:val="00BF3279"/>
    <w:rsid w:val="00BF74C7"/>
    <w:rsid w:val="00C015F1"/>
    <w:rsid w:val="00C01F33"/>
    <w:rsid w:val="00C02CC6"/>
    <w:rsid w:val="00C040F7"/>
    <w:rsid w:val="00C044AB"/>
    <w:rsid w:val="00C04F3E"/>
    <w:rsid w:val="00C05706"/>
    <w:rsid w:val="00C07377"/>
    <w:rsid w:val="00C10478"/>
    <w:rsid w:val="00C12107"/>
    <w:rsid w:val="00C13CB8"/>
    <w:rsid w:val="00C14D4B"/>
    <w:rsid w:val="00C154BB"/>
    <w:rsid w:val="00C220A7"/>
    <w:rsid w:val="00C25F87"/>
    <w:rsid w:val="00C279B5"/>
    <w:rsid w:val="00C27C45"/>
    <w:rsid w:val="00C3719D"/>
    <w:rsid w:val="00C37CB2"/>
    <w:rsid w:val="00C473A5"/>
    <w:rsid w:val="00C54995"/>
    <w:rsid w:val="00C54D41"/>
    <w:rsid w:val="00C60783"/>
    <w:rsid w:val="00C64672"/>
    <w:rsid w:val="00C70697"/>
    <w:rsid w:val="00C70D7C"/>
    <w:rsid w:val="00C72093"/>
    <w:rsid w:val="00C72EF4"/>
    <w:rsid w:val="00C744FE"/>
    <w:rsid w:val="00C75D2F"/>
    <w:rsid w:val="00C767BE"/>
    <w:rsid w:val="00C76E3C"/>
    <w:rsid w:val="00C77C14"/>
    <w:rsid w:val="00C81568"/>
    <w:rsid w:val="00C86AC5"/>
    <w:rsid w:val="00C86EB2"/>
    <w:rsid w:val="00C9027A"/>
    <w:rsid w:val="00C9068E"/>
    <w:rsid w:val="00C93814"/>
    <w:rsid w:val="00C93C4B"/>
    <w:rsid w:val="00C944AB"/>
    <w:rsid w:val="00C95B40"/>
    <w:rsid w:val="00CA1ED8"/>
    <w:rsid w:val="00CA5690"/>
    <w:rsid w:val="00CA788B"/>
    <w:rsid w:val="00CB0EB3"/>
    <w:rsid w:val="00CB1185"/>
    <w:rsid w:val="00CB1F63"/>
    <w:rsid w:val="00CB44D7"/>
    <w:rsid w:val="00CB7170"/>
    <w:rsid w:val="00CC040E"/>
    <w:rsid w:val="00CC111F"/>
    <w:rsid w:val="00CC2011"/>
    <w:rsid w:val="00CC3EA0"/>
    <w:rsid w:val="00CC78E3"/>
    <w:rsid w:val="00CC7B45"/>
    <w:rsid w:val="00CD1188"/>
    <w:rsid w:val="00CD2ED1"/>
    <w:rsid w:val="00CD337B"/>
    <w:rsid w:val="00CD3747"/>
    <w:rsid w:val="00CD5A12"/>
    <w:rsid w:val="00CE0424"/>
    <w:rsid w:val="00CE0920"/>
    <w:rsid w:val="00CE7561"/>
    <w:rsid w:val="00CE7A4D"/>
    <w:rsid w:val="00CE7EE9"/>
    <w:rsid w:val="00CF1354"/>
    <w:rsid w:val="00CF1FE7"/>
    <w:rsid w:val="00CF3B1F"/>
    <w:rsid w:val="00CF3BF6"/>
    <w:rsid w:val="00CF625B"/>
    <w:rsid w:val="00CF687E"/>
    <w:rsid w:val="00D0349B"/>
    <w:rsid w:val="00D10249"/>
    <w:rsid w:val="00D115C3"/>
    <w:rsid w:val="00D11897"/>
    <w:rsid w:val="00D13135"/>
    <w:rsid w:val="00D13E4E"/>
    <w:rsid w:val="00D1761A"/>
    <w:rsid w:val="00D230CB"/>
    <w:rsid w:val="00D239A7"/>
    <w:rsid w:val="00D23F47"/>
    <w:rsid w:val="00D27660"/>
    <w:rsid w:val="00D33184"/>
    <w:rsid w:val="00D34587"/>
    <w:rsid w:val="00D36E71"/>
    <w:rsid w:val="00D37D87"/>
    <w:rsid w:val="00D40B33"/>
    <w:rsid w:val="00D4318F"/>
    <w:rsid w:val="00D438BF"/>
    <w:rsid w:val="00D440F8"/>
    <w:rsid w:val="00D546FF"/>
    <w:rsid w:val="00D55AD5"/>
    <w:rsid w:val="00D576CA"/>
    <w:rsid w:val="00D61AF5"/>
    <w:rsid w:val="00D635D5"/>
    <w:rsid w:val="00D652B5"/>
    <w:rsid w:val="00D66155"/>
    <w:rsid w:val="00D669F3"/>
    <w:rsid w:val="00D708B0"/>
    <w:rsid w:val="00D70DFD"/>
    <w:rsid w:val="00D77B1D"/>
    <w:rsid w:val="00D8021F"/>
    <w:rsid w:val="00D80383"/>
    <w:rsid w:val="00D819C7"/>
    <w:rsid w:val="00D823C6"/>
    <w:rsid w:val="00D8327F"/>
    <w:rsid w:val="00D847F0"/>
    <w:rsid w:val="00D86CA3"/>
    <w:rsid w:val="00D871CE"/>
    <w:rsid w:val="00D90D00"/>
    <w:rsid w:val="00D9196D"/>
    <w:rsid w:val="00D92982"/>
    <w:rsid w:val="00D942D3"/>
    <w:rsid w:val="00DA0CA4"/>
    <w:rsid w:val="00DA305E"/>
    <w:rsid w:val="00DA5417"/>
    <w:rsid w:val="00DA56E8"/>
    <w:rsid w:val="00DB0A9F"/>
    <w:rsid w:val="00DB377D"/>
    <w:rsid w:val="00DB7ECA"/>
    <w:rsid w:val="00DC147D"/>
    <w:rsid w:val="00DC22AE"/>
    <w:rsid w:val="00DC2D36"/>
    <w:rsid w:val="00DC53EF"/>
    <w:rsid w:val="00DC73BD"/>
    <w:rsid w:val="00DE536B"/>
    <w:rsid w:val="00DE5608"/>
    <w:rsid w:val="00DE58D0"/>
    <w:rsid w:val="00DE5B10"/>
    <w:rsid w:val="00DE5E02"/>
    <w:rsid w:val="00DE654F"/>
    <w:rsid w:val="00DF0B6E"/>
    <w:rsid w:val="00DF15E0"/>
    <w:rsid w:val="00DF37A0"/>
    <w:rsid w:val="00E05F59"/>
    <w:rsid w:val="00E110E7"/>
    <w:rsid w:val="00E11B20"/>
    <w:rsid w:val="00E11FA0"/>
    <w:rsid w:val="00E12BF8"/>
    <w:rsid w:val="00E1339E"/>
    <w:rsid w:val="00E16749"/>
    <w:rsid w:val="00E17A7E"/>
    <w:rsid w:val="00E17FA2"/>
    <w:rsid w:val="00E20324"/>
    <w:rsid w:val="00E213B3"/>
    <w:rsid w:val="00E22330"/>
    <w:rsid w:val="00E22934"/>
    <w:rsid w:val="00E27566"/>
    <w:rsid w:val="00E30B5A"/>
    <w:rsid w:val="00E3123D"/>
    <w:rsid w:val="00E31461"/>
    <w:rsid w:val="00E31D43"/>
    <w:rsid w:val="00E32608"/>
    <w:rsid w:val="00E34188"/>
    <w:rsid w:val="00E34B6E"/>
    <w:rsid w:val="00E35559"/>
    <w:rsid w:val="00E3723A"/>
    <w:rsid w:val="00E37860"/>
    <w:rsid w:val="00E446F1"/>
    <w:rsid w:val="00E458B6"/>
    <w:rsid w:val="00E46886"/>
    <w:rsid w:val="00E47AEF"/>
    <w:rsid w:val="00E53B75"/>
    <w:rsid w:val="00E54E3B"/>
    <w:rsid w:val="00E57565"/>
    <w:rsid w:val="00E63838"/>
    <w:rsid w:val="00E64434"/>
    <w:rsid w:val="00E677FF"/>
    <w:rsid w:val="00E67C51"/>
    <w:rsid w:val="00E71795"/>
    <w:rsid w:val="00E72EFC"/>
    <w:rsid w:val="00E73817"/>
    <w:rsid w:val="00E74D6F"/>
    <w:rsid w:val="00E758EC"/>
    <w:rsid w:val="00E8234C"/>
    <w:rsid w:val="00E83AA9"/>
    <w:rsid w:val="00E83D6F"/>
    <w:rsid w:val="00E85928"/>
    <w:rsid w:val="00E87822"/>
    <w:rsid w:val="00E90395"/>
    <w:rsid w:val="00E90E49"/>
    <w:rsid w:val="00E917F9"/>
    <w:rsid w:val="00E9291C"/>
    <w:rsid w:val="00E93FFE"/>
    <w:rsid w:val="00E94C49"/>
    <w:rsid w:val="00E94F8A"/>
    <w:rsid w:val="00EA5771"/>
    <w:rsid w:val="00EA68D3"/>
    <w:rsid w:val="00EA7A41"/>
    <w:rsid w:val="00EB077B"/>
    <w:rsid w:val="00EB4EA2"/>
    <w:rsid w:val="00EB64B2"/>
    <w:rsid w:val="00EC1558"/>
    <w:rsid w:val="00EC24D5"/>
    <w:rsid w:val="00EC27C6"/>
    <w:rsid w:val="00EC4207"/>
    <w:rsid w:val="00EC5653"/>
    <w:rsid w:val="00EC71CE"/>
    <w:rsid w:val="00ED085C"/>
    <w:rsid w:val="00ED1006"/>
    <w:rsid w:val="00ED7DE5"/>
    <w:rsid w:val="00EE4FAE"/>
    <w:rsid w:val="00EE5C2C"/>
    <w:rsid w:val="00EF18FE"/>
    <w:rsid w:val="00EF5787"/>
    <w:rsid w:val="00EF60D0"/>
    <w:rsid w:val="00EF6EB6"/>
    <w:rsid w:val="00F0268F"/>
    <w:rsid w:val="00F0528D"/>
    <w:rsid w:val="00F06C67"/>
    <w:rsid w:val="00F06DFD"/>
    <w:rsid w:val="00F071D1"/>
    <w:rsid w:val="00F07533"/>
    <w:rsid w:val="00F07CA6"/>
    <w:rsid w:val="00F10629"/>
    <w:rsid w:val="00F1267C"/>
    <w:rsid w:val="00F15FA5"/>
    <w:rsid w:val="00F209B7"/>
    <w:rsid w:val="00F20CA3"/>
    <w:rsid w:val="00F2258C"/>
    <w:rsid w:val="00F2376F"/>
    <w:rsid w:val="00F243D8"/>
    <w:rsid w:val="00F27C39"/>
    <w:rsid w:val="00F30828"/>
    <w:rsid w:val="00F3108B"/>
    <w:rsid w:val="00F313D6"/>
    <w:rsid w:val="00F33047"/>
    <w:rsid w:val="00F34545"/>
    <w:rsid w:val="00F34E66"/>
    <w:rsid w:val="00F35628"/>
    <w:rsid w:val="00F40F0C"/>
    <w:rsid w:val="00F4766C"/>
    <w:rsid w:val="00F5060E"/>
    <w:rsid w:val="00F507D1"/>
    <w:rsid w:val="00F519CE"/>
    <w:rsid w:val="00F51ADA"/>
    <w:rsid w:val="00F521B8"/>
    <w:rsid w:val="00F54658"/>
    <w:rsid w:val="00F552C2"/>
    <w:rsid w:val="00F60203"/>
    <w:rsid w:val="00F607C5"/>
    <w:rsid w:val="00F60DEA"/>
    <w:rsid w:val="00F61905"/>
    <w:rsid w:val="00F6302A"/>
    <w:rsid w:val="00F63950"/>
    <w:rsid w:val="00F64C2B"/>
    <w:rsid w:val="00F651BE"/>
    <w:rsid w:val="00F67F53"/>
    <w:rsid w:val="00F703BE"/>
    <w:rsid w:val="00F71F69"/>
    <w:rsid w:val="00F72B72"/>
    <w:rsid w:val="00F74BB9"/>
    <w:rsid w:val="00F75582"/>
    <w:rsid w:val="00F76EFA"/>
    <w:rsid w:val="00F77BDC"/>
    <w:rsid w:val="00F804BE"/>
    <w:rsid w:val="00F817CE"/>
    <w:rsid w:val="00F8456C"/>
    <w:rsid w:val="00F859D8"/>
    <w:rsid w:val="00F868F5"/>
    <w:rsid w:val="00F9056A"/>
    <w:rsid w:val="00F90F8D"/>
    <w:rsid w:val="00F92782"/>
    <w:rsid w:val="00F92FAD"/>
    <w:rsid w:val="00F93045"/>
    <w:rsid w:val="00F93AA9"/>
    <w:rsid w:val="00F96985"/>
    <w:rsid w:val="00F97838"/>
    <w:rsid w:val="00FA1F2D"/>
    <w:rsid w:val="00FA1F42"/>
    <w:rsid w:val="00FA2BB3"/>
    <w:rsid w:val="00FA79BC"/>
    <w:rsid w:val="00FB3E47"/>
    <w:rsid w:val="00FB4C80"/>
    <w:rsid w:val="00FB5D67"/>
    <w:rsid w:val="00FB6A6A"/>
    <w:rsid w:val="00FC4662"/>
    <w:rsid w:val="00FC6C16"/>
    <w:rsid w:val="00FC7429"/>
    <w:rsid w:val="00FD07F6"/>
    <w:rsid w:val="00FD1EC8"/>
    <w:rsid w:val="00FD47ED"/>
    <w:rsid w:val="00FD6143"/>
    <w:rsid w:val="00FD74DB"/>
    <w:rsid w:val="00FD7660"/>
    <w:rsid w:val="00FD768B"/>
    <w:rsid w:val="00FE0655"/>
    <w:rsid w:val="00FE2365"/>
    <w:rsid w:val="00FE37D7"/>
    <w:rsid w:val="00FE4C7B"/>
    <w:rsid w:val="00FE7336"/>
    <w:rsid w:val="00FE787C"/>
    <w:rsid w:val="00FF45A5"/>
    <w:rsid w:val="00FF5C91"/>
    <w:rsid w:val="00FF769C"/>
    <w:rsid w:val="00FF786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5465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 w:type="character" w:customStyle="1" w:styleId="B1Zchn">
    <w:name w:val="B1 Zchn"/>
    <w:qFormat/>
    <w:rsid w:val="00C04F3E"/>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2768">
      <w:bodyDiv w:val="1"/>
      <w:marLeft w:val="0"/>
      <w:marRight w:val="0"/>
      <w:marTop w:val="0"/>
      <w:marBottom w:val="0"/>
      <w:divBdr>
        <w:top w:val="none" w:sz="0" w:space="0" w:color="auto"/>
        <w:left w:val="none" w:sz="0" w:space="0" w:color="auto"/>
        <w:bottom w:val="none" w:sz="0" w:space="0" w:color="auto"/>
        <w:right w:val="none" w:sz="0" w:space="0" w:color="auto"/>
      </w:divBdr>
    </w:div>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19758676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2892</Words>
  <Characters>16345</Characters>
  <Application>Microsoft Office Word</Application>
  <DocSecurity>0</DocSecurity>
  <Lines>563</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18991</CharactersWithSpaces>
  <SharedDoc>false</SharedDoc>
  <HLinks>
    <vt:vector size="72" baseType="variant">
      <vt:variant>
        <vt:i4>1310775</vt:i4>
      </vt:variant>
      <vt:variant>
        <vt:i4>38</vt:i4>
      </vt:variant>
      <vt:variant>
        <vt:i4>0</vt:i4>
      </vt:variant>
      <vt:variant>
        <vt:i4>5</vt:i4>
      </vt:variant>
      <vt:variant>
        <vt:lpwstr/>
      </vt:variant>
      <vt:variant>
        <vt:lpwstr>_Toc139282705</vt:lpwstr>
      </vt:variant>
      <vt:variant>
        <vt:i4>1310775</vt:i4>
      </vt:variant>
      <vt:variant>
        <vt:i4>35</vt:i4>
      </vt:variant>
      <vt:variant>
        <vt:i4>0</vt:i4>
      </vt:variant>
      <vt:variant>
        <vt:i4>5</vt:i4>
      </vt:variant>
      <vt:variant>
        <vt:lpwstr/>
      </vt:variant>
      <vt:variant>
        <vt:lpwstr>_Toc139282704</vt:lpwstr>
      </vt:variant>
      <vt:variant>
        <vt:i4>1310775</vt:i4>
      </vt:variant>
      <vt:variant>
        <vt:i4>32</vt:i4>
      </vt:variant>
      <vt:variant>
        <vt:i4>0</vt:i4>
      </vt:variant>
      <vt:variant>
        <vt:i4>5</vt:i4>
      </vt:variant>
      <vt:variant>
        <vt:lpwstr/>
      </vt:variant>
      <vt:variant>
        <vt:lpwstr>_Toc139282703</vt:lpwstr>
      </vt:variant>
      <vt:variant>
        <vt:i4>1310775</vt:i4>
      </vt:variant>
      <vt:variant>
        <vt:i4>29</vt:i4>
      </vt:variant>
      <vt:variant>
        <vt:i4>0</vt:i4>
      </vt:variant>
      <vt:variant>
        <vt:i4>5</vt:i4>
      </vt:variant>
      <vt:variant>
        <vt:lpwstr/>
      </vt:variant>
      <vt:variant>
        <vt:lpwstr>_Toc139282702</vt:lpwstr>
      </vt:variant>
      <vt:variant>
        <vt:i4>1310775</vt:i4>
      </vt:variant>
      <vt:variant>
        <vt:i4>26</vt:i4>
      </vt:variant>
      <vt:variant>
        <vt:i4>0</vt:i4>
      </vt:variant>
      <vt:variant>
        <vt:i4>5</vt:i4>
      </vt:variant>
      <vt:variant>
        <vt:lpwstr/>
      </vt:variant>
      <vt:variant>
        <vt:lpwstr>_Toc139282701</vt:lpwstr>
      </vt:variant>
      <vt:variant>
        <vt:i4>1310775</vt:i4>
      </vt:variant>
      <vt:variant>
        <vt:i4>20</vt:i4>
      </vt:variant>
      <vt:variant>
        <vt:i4>0</vt:i4>
      </vt:variant>
      <vt:variant>
        <vt:i4>5</vt:i4>
      </vt:variant>
      <vt:variant>
        <vt:lpwstr/>
      </vt:variant>
      <vt:variant>
        <vt:lpwstr>_Toc139282700</vt:lpwstr>
      </vt:variant>
      <vt:variant>
        <vt:i4>1900598</vt:i4>
      </vt:variant>
      <vt:variant>
        <vt:i4>17</vt:i4>
      </vt:variant>
      <vt:variant>
        <vt:i4>0</vt:i4>
      </vt:variant>
      <vt:variant>
        <vt:i4>5</vt:i4>
      </vt:variant>
      <vt:variant>
        <vt:lpwstr/>
      </vt:variant>
      <vt:variant>
        <vt:lpwstr>_Toc139282699</vt:lpwstr>
      </vt:variant>
      <vt:variant>
        <vt:i4>1900598</vt:i4>
      </vt:variant>
      <vt:variant>
        <vt:i4>14</vt:i4>
      </vt:variant>
      <vt:variant>
        <vt:i4>0</vt:i4>
      </vt:variant>
      <vt:variant>
        <vt:i4>5</vt:i4>
      </vt:variant>
      <vt:variant>
        <vt:lpwstr/>
      </vt:variant>
      <vt:variant>
        <vt:lpwstr>_Toc139282698</vt:lpwstr>
      </vt:variant>
      <vt:variant>
        <vt:i4>1900598</vt:i4>
      </vt:variant>
      <vt:variant>
        <vt:i4>11</vt:i4>
      </vt:variant>
      <vt:variant>
        <vt:i4>0</vt:i4>
      </vt:variant>
      <vt:variant>
        <vt:i4>5</vt:i4>
      </vt:variant>
      <vt:variant>
        <vt:lpwstr/>
      </vt:variant>
      <vt:variant>
        <vt:lpwstr>_Toc139282697</vt:lpwstr>
      </vt:variant>
      <vt:variant>
        <vt:i4>1900598</vt:i4>
      </vt:variant>
      <vt:variant>
        <vt:i4>8</vt:i4>
      </vt:variant>
      <vt:variant>
        <vt:i4>0</vt:i4>
      </vt:variant>
      <vt:variant>
        <vt:i4>5</vt:i4>
      </vt:variant>
      <vt:variant>
        <vt:lpwstr/>
      </vt:variant>
      <vt:variant>
        <vt:lpwstr>_Toc139282696</vt:lpwstr>
      </vt:variant>
      <vt:variant>
        <vt:i4>1900598</vt:i4>
      </vt:variant>
      <vt:variant>
        <vt:i4>5</vt:i4>
      </vt:variant>
      <vt:variant>
        <vt:i4>0</vt:i4>
      </vt:variant>
      <vt:variant>
        <vt:i4>5</vt:i4>
      </vt:variant>
      <vt:variant>
        <vt:lpwstr/>
      </vt:variant>
      <vt:variant>
        <vt:lpwstr>_Toc139282695</vt:lpwstr>
      </vt:variant>
      <vt:variant>
        <vt:i4>1900598</vt:i4>
      </vt:variant>
      <vt:variant>
        <vt:i4>2</vt:i4>
      </vt:variant>
      <vt:variant>
        <vt:i4>0</vt:i4>
      </vt:variant>
      <vt:variant>
        <vt:i4>5</vt:i4>
      </vt:variant>
      <vt:variant>
        <vt:lpwstr/>
      </vt:variant>
      <vt:variant>
        <vt:lpwstr>_Toc139282694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2024-02-18T23:05:00Z</dcterms:created>
  <dcterms:modified xsi:type="dcterms:W3CDTF">2024-02-18T23:05:00Z</dcterms:modified>
  <cp:category/>
</cp:coreProperties>
</file>